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0302" w:type="dxa"/>
        <w:tblInd w:w="-743"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09"/>
        <w:gridCol w:w="1078"/>
        <w:gridCol w:w="6510"/>
        <w:gridCol w:w="795"/>
        <w:gridCol w:w="121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09" w:type="dxa"/>
          </w:tcPr>
          <w:p>
            <w:pPr>
              <w:spacing w:after="0" w:line="360" w:lineRule="auto"/>
              <w:jc w:val="center"/>
              <w:rPr>
                <w:rFonts w:ascii="宋体" w:hAnsi="宋体" w:eastAsia="宋体"/>
                <w:b/>
                <w:sz w:val="24"/>
                <w:szCs w:val="24"/>
              </w:rPr>
            </w:pPr>
            <w:r>
              <w:rPr>
                <w:rFonts w:hint="eastAsia" w:ascii="宋体" w:hAnsi="宋体" w:eastAsia="宋体"/>
                <w:b/>
                <w:sz w:val="24"/>
                <w:szCs w:val="24"/>
              </w:rPr>
              <w:t>序号</w:t>
            </w:r>
          </w:p>
        </w:tc>
        <w:tc>
          <w:tcPr>
            <w:tcW w:w="1078" w:type="dxa"/>
          </w:tcPr>
          <w:p>
            <w:pPr>
              <w:spacing w:after="0" w:line="360" w:lineRule="auto"/>
              <w:jc w:val="center"/>
              <w:rPr>
                <w:rFonts w:ascii="宋体" w:hAnsi="宋体" w:eastAsia="宋体"/>
                <w:b/>
                <w:sz w:val="24"/>
                <w:szCs w:val="24"/>
              </w:rPr>
            </w:pPr>
            <w:r>
              <w:rPr>
                <w:rFonts w:hint="eastAsia" w:ascii="宋体" w:hAnsi="宋体" w:eastAsia="宋体"/>
                <w:b/>
                <w:sz w:val="24"/>
                <w:szCs w:val="24"/>
              </w:rPr>
              <w:t>软件名称</w:t>
            </w:r>
          </w:p>
        </w:tc>
        <w:tc>
          <w:tcPr>
            <w:tcW w:w="6510" w:type="dxa"/>
          </w:tcPr>
          <w:p>
            <w:pPr>
              <w:spacing w:after="0" w:line="360" w:lineRule="auto"/>
              <w:jc w:val="center"/>
              <w:rPr>
                <w:rFonts w:ascii="宋体" w:hAnsi="宋体" w:eastAsia="宋体"/>
                <w:b/>
                <w:sz w:val="24"/>
                <w:szCs w:val="24"/>
              </w:rPr>
            </w:pPr>
            <w:r>
              <w:rPr>
                <w:rFonts w:hint="eastAsia" w:ascii="宋体" w:hAnsi="宋体" w:eastAsia="宋体"/>
                <w:b/>
                <w:sz w:val="24"/>
                <w:szCs w:val="24"/>
              </w:rPr>
              <w:t>技术参数</w:t>
            </w:r>
          </w:p>
        </w:tc>
        <w:tc>
          <w:tcPr>
            <w:tcW w:w="795" w:type="dxa"/>
          </w:tcPr>
          <w:p>
            <w:pPr>
              <w:spacing w:after="0" w:line="360" w:lineRule="auto"/>
              <w:jc w:val="center"/>
              <w:rPr>
                <w:rFonts w:ascii="宋体" w:hAnsi="宋体" w:eastAsia="宋体"/>
                <w:b/>
                <w:sz w:val="24"/>
                <w:szCs w:val="24"/>
              </w:rPr>
            </w:pPr>
            <w:r>
              <w:rPr>
                <w:rFonts w:hint="eastAsia" w:ascii="宋体" w:hAnsi="宋体" w:eastAsia="宋体"/>
                <w:b/>
                <w:sz w:val="24"/>
                <w:szCs w:val="24"/>
              </w:rPr>
              <w:t>数量</w:t>
            </w:r>
          </w:p>
        </w:tc>
        <w:tc>
          <w:tcPr>
            <w:tcW w:w="1210" w:type="dxa"/>
          </w:tcPr>
          <w:p>
            <w:pPr>
              <w:spacing w:after="0" w:line="360" w:lineRule="auto"/>
              <w:jc w:val="center"/>
              <w:rPr>
                <w:rFonts w:ascii="宋体" w:hAnsi="宋体" w:eastAsia="宋体"/>
                <w:b/>
                <w:sz w:val="24"/>
                <w:szCs w:val="24"/>
              </w:rPr>
            </w:pPr>
            <w:r>
              <w:rPr>
                <w:rFonts w:hint="eastAsia" w:ascii="宋体" w:hAnsi="宋体" w:eastAsia="宋体"/>
                <w:b/>
                <w:sz w:val="24"/>
                <w:szCs w:val="24"/>
              </w:rPr>
              <w:t>规格型号</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09" w:type="dxa"/>
          </w:tcPr>
          <w:p>
            <w:pPr>
              <w:spacing w:after="0" w:line="360" w:lineRule="auto"/>
              <w:jc w:val="center"/>
              <w:rPr>
                <w:rFonts w:hint="eastAsia" w:ascii="宋体" w:hAnsi="宋体" w:eastAsia="宋体"/>
                <w:sz w:val="24"/>
                <w:szCs w:val="24"/>
                <w:lang w:eastAsia="zh-CN"/>
              </w:rPr>
            </w:pPr>
            <w:r>
              <w:rPr>
                <w:rFonts w:hint="eastAsia" w:ascii="宋体" w:hAnsi="宋体" w:eastAsia="宋体"/>
                <w:sz w:val="24"/>
                <w:szCs w:val="24"/>
                <w:lang w:val="en-US" w:eastAsia="zh-CN"/>
              </w:rPr>
              <w:t>1</w:t>
            </w:r>
          </w:p>
        </w:tc>
        <w:tc>
          <w:tcPr>
            <w:tcW w:w="1078" w:type="dxa"/>
          </w:tcPr>
          <w:p>
            <w:pPr>
              <w:spacing w:after="0" w:line="360" w:lineRule="auto"/>
              <w:jc w:val="center"/>
              <w:rPr>
                <w:rFonts w:hint="eastAsia" w:ascii="宋体" w:hAnsi="宋体" w:eastAsia="宋体"/>
                <w:sz w:val="24"/>
                <w:szCs w:val="24"/>
              </w:rPr>
            </w:pPr>
            <w:r>
              <w:rPr>
                <w:rFonts w:hint="eastAsia" w:ascii="宋体" w:hAnsi="宋体" w:eastAsia="宋体"/>
                <w:sz w:val="24"/>
                <w:szCs w:val="24"/>
              </w:rPr>
              <w:t>国际贸易实训系统</w:t>
            </w:r>
          </w:p>
        </w:tc>
        <w:tc>
          <w:tcPr>
            <w:tcW w:w="6510" w:type="dxa"/>
          </w:tcPr>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宋体" w:hAnsi="宋体" w:eastAsia="宋体" w:cs="Times New Roman"/>
                <w:b/>
                <w:sz w:val="21"/>
                <w:szCs w:val="21"/>
              </w:rPr>
            </w:pPr>
            <w:bookmarkStart w:id="0" w:name="_GoBack"/>
            <w:r>
              <w:rPr>
                <w:rFonts w:hint="eastAsia" w:ascii="宋体" w:hAnsi="宋体" w:eastAsia="宋体" w:cs="Times New Roman"/>
                <w:b/>
                <w:sz w:val="21"/>
                <w:szCs w:val="21"/>
              </w:rPr>
              <w:t>【运行环境】</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宋体" w:hAnsi="宋体" w:eastAsia="宋体" w:cs="Times New Roman"/>
                <w:sz w:val="21"/>
                <w:szCs w:val="21"/>
              </w:rPr>
            </w:pPr>
            <w:r>
              <w:rPr>
                <w:rFonts w:hint="eastAsia" w:ascii="宋体" w:hAnsi="宋体" w:eastAsia="宋体" w:cs="Times New Roman"/>
                <w:sz w:val="21"/>
                <w:szCs w:val="21"/>
              </w:rPr>
              <w:t>1、系统安装于固定服务器，客户端通过网络访问并且无人数限制，易安装易维护。</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宋体" w:hAnsi="宋体" w:eastAsia="宋体" w:cs="Times New Roman"/>
                <w:sz w:val="21"/>
                <w:szCs w:val="21"/>
              </w:rPr>
            </w:pPr>
            <w:r>
              <w:rPr>
                <w:rFonts w:hint="eastAsia" w:ascii="宋体" w:hAnsi="宋体" w:eastAsia="宋体" w:cs="Times New Roman"/>
                <w:sz w:val="21"/>
                <w:szCs w:val="21"/>
              </w:rPr>
              <w:t>2、系统数据库基于SQL Server 2005/2008数据库、服务器环境基于Windows 2003 Server企业版、Windows 2008 Server R2或更高版本。</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宋体" w:hAnsi="宋体" w:eastAsia="宋体" w:cs="Times New Roman"/>
                <w:b/>
                <w:sz w:val="21"/>
                <w:szCs w:val="21"/>
              </w:rPr>
            </w:pPr>
            <w:r>
              <w:rPr>
                <w:rFonts w:hint="eastAsia" w:ascii="宋体" w:hAnsi="宋体" w:eastAsia="宋体" w:cs="Times New Roman"/>
                <w:b/>
                <w:sz w:val="21"/>
                <w:szCs w:val="21"/>
              </w:rPr>
              <w:t>【系统功能】</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宋体" w:hAnsi="宋体" w:eastAsia="宋体" w:cs="Times New Roman"/>
                <w:sz w:val="21"/>
                <w:szCs w:val="21"/>
              </w:rPr>
            </w:pPr>
            <w:r>
              <w:rPr>
                <w:rFonts w:hint="eastAsia" w:ascii="宋体" w:hAnsi="宋体" w:eastAsia="宋体" w:cs="Times New Roman"/>
                <w:sz w:val="21"/>
                <w:szCs w:val="21"/>
              </w:rPr>
              <w:t>1、系统基于B/S架构和.NET技术，具有良好的易维护性和易操作性。</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宋体" w:hAnsi="宋体" w:eastAsia="宋体" w:cs="Times New Roman"/>
                <w:sz w:val="21"/>
                <w:szCs w:val="21"/>
              </w:rPr>
            </w:pPr>
            <w:r>
              <w:rPr>
                <w:rFonts w:hint="eastAsia" w:ascii="宋体" w:hAnsi="宋体" w:eastAsia="宋体" w:cs="Times New Roman"/>
                <w:sz w:val="21"/>
                <w:szCs w:val="21"/>
              </w:rPr>
              <w:t>2、系统分为三级管理及操作端口，其中角色定义为管理员、教师和学生，管理员负责教师用户的添加管理及数据维护，教师负责班级学生的添加管理及实验管理，学生为实验主体进行模拟实训。</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宋体" w:hAnsi="宋体" w:eastAsia="宋体" w:cs="Times New Roman"/>
                <w:sz w:val="21"/>
                <w:szCs w:val="21"/>
              </w:rPr>
            </w:pPr>
            <w:r>
              <w:rPr>
                <w:rFonts w:hint="eastAsia" w:ascii="宋体" w:hAnsi="宋体" w:eastAsia="宋体" w:cs="Times New Roman"/>
                <w:sz w:val="21"/>
                <w:szCs w:val="21"/>
              </w:rPr>
              <w:t>3、管理员端需可查看系统中产品分类，按照产品大的分类，系统分为16大类产品。</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宋体" w:hAnsi="宋体" w:eastAsia="宋体" w:cs="Times New Roman"/>
                <w:sz w:val="21"/>
                <w:szCs w:val="21"/>
              </w:rPr>
            </w:pPr>
            <w:r>
              <w:rPr>
                <w:rFonts w:hint="eastAsia" w:ascii="宋体" w:hAnsi="宋体" w:eastAsia="宋体" w:cs="Times New Roman"/>
                <w:sz w:val="21"/>
                <w:szCs w:val="21"/>
              </w:rPr>
              <w:t>4、</w:t>
            </w:r>
            <w:r>
              <w:rPr>
                <w:rFonts w:hint="eastAsia" w:ascii="宋体" w:hAnsi="宋体" w:eastAsia="宋体" w:cs="Times New Roman"/>
                <w:bCs/>
                <w:sz w:val="21"/>
                <w:szCs w:val="21"/>
              </w:rPr>
              <w:t>国际贸易实训系统</w:t>
            </w:r>
            <w:r>
              <w:rPr>
                <w:rFonts w:hint="eastAsia" w:ascii="宋体" w:hAnsi="宋体" w:eastAsia="宋体" w:cs="Times New Roman"/>
                <w:sz w:val="21"/>
                <w:szCs w:val="21"/>
              </w:rPr>
              <w:t>通过归纳和总结整个国际贸易的流程和惯例，在网络中建立几近真实的国际贸易环境，直接切入不同当事人所面对的不同工作。帮助学生或者培训对象把握整个业务过程，通过不同当事人角色的扮演（出口商、进口商、生产商（工厂）、进口银行、出口银行、保险公司、商检局、海关、外汇管理局、货代、国税局）充分掌握各种业务技巧，熟悉和体会客户、生厂商、银行和政府机构的互动关系，真正了解国际贸易的物流、资金流和业务流的运作方式。</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宋体" w:hAnsi="宋体" w:eastAsia="宋体" w:cs="Times New Roman"/>
                <w:b/>
                <w:sz w:val="21"/>
                <w:szCs w:val="21"/>
              </w:rPr>
            </w:pPr>
            <w:r>
              <w:rPr>
                <w:rFonts w:hint="eastAsia" w:ascii="宋体" w:hAnsi="宋体" w:eastAsia="宋体" w:cs="Times New Roman"/>
                <w:sz w:val="21"/>
                <w:szCs w:val="21"/>
              </w:rPr>
              <w:t>5、涵盖以下各种方式的</w:t>
            </w:r>
            <w:r>
              <w:rPr>
                <w:rFonts w:hint="eastAsia" w:ascii="宋体" w:hAnsi="宋体" w:eastAsia="宋体" w:cs="宋体"/>
                <w:sz w:val="21"/>
                <w:szCs w:val="21"/>
              </w:rPr>
              <w:t>进出口流程实训</w:t>
            </w:r>
            <w:r>
              <w:rPr>
                <w:rFonts w:hint="eastAsia" w:ascii="宋体" w:hAnsi="宋体" w:eastAsia="宋体" w:cs="Times New Roman"/>
                <w:sz w:val="21"/>
                <w:szCs w:val="21"/>
              </w:rPr>
              <w:t>：</w:t>
            </w:r>
            <w:r>
              <w:rPr>
                <w:rFonts w:ascii="宋体" w:hAnsi="宋体" w:eastAsia="宋体" w:cs="宋体"/>
                <w:sz w:val="21"/>
                <w:szCs w:val="21"/>
              </w:rPr>
              <w:t>CIF/CIP</w:t>
            </w:r>
            <w:r>
              <w:rPr>
                <w:rFonts w:hint="eastAsia" w:ascii="宋体" w:hAnsi="宋体" w:eastAsia="宋体" w:cs="宋体"/>
                <w:sz w:val="21"/>
                <w:szCs w:val="21"/>
              </w:rPr>
              <w:t>、</w:t>
            </w:r>
            <w:r>
              <w:rPr>
                <w:rFonts w:ascii="宋体" w:hAnsi="宋体" w:eastAsia="宋体" w:cs="宋体"/>
                <w:sz w:val="21"/>
                <w:szCs w:val="21"/>
              </w:rPr>
              <w:t>CFR/CPT</w:t>
            </w:r>
            <w:r>
              <w:rPr>
                <w:rFonts w:hint="eastAsia" w:ascii="宋体" w:hAnsi="宋体" w:eastAsia="宋体" w:cs="宋体"/>
                <w:sz w:val="21"/>
                <w:szCs w:val="21"/>
              </w:rPr>
              <w:t>、</w:t>
            </w:r>
            <w:r>
              <w:rPr>
                <w:rFonts w:ascii="宋体" w:hAnsi="宋体" w:eastAsia="宋体" w:cs="宋体"/>
                <w:sz w:val="21"/>
                <w:szCs w:val="21"/>
              </w:rPr>
              <w:t>FOB/FCA</w:t>
            </w:r>
            <w:r>
              <w:rPr>
                <w:rFonts w:hint="eastAsia" w:ascii="宋体" w:hAnsi="宋体" w:eastAsia="宋体" w:cs="宋体"/>
                <w:sz w:val="21"/>
                <w:szCs w:val="21"/>
              </w:rPr>
              <w:t>方式；信用证、电汇、托收以及混合方式；海运、空运以及海空联运；一般贸易、加工贸易等。</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宋体" w:hAnsi="宋体" w:eastAsia="宋体" w:cs="Times New Roman"/>
                <w:sz w:val="21"/>
                <w:szCs w:val="21"/>
              </w:rPr>
            </w:pPr>
            <w:r>
              <w:rPr>
                <w:rFonts w:hint="eastAsia" w:ascii="宋体" w:hAnsi="宋体" w:eastAsia="宋体" w:cs="Times New Roman"/>
                <w:b/>
                <w:sz w:val="21"/>
                <w:szCs w:val="21"/>
              </w:rPr>
              <w:t>主要业务流程：</w:t>
            </w:r>
            <w:r>
              <w:rPr>
                <w:rFonts w:ascii="宋体" w:hAnsi="宋体" w:eastAsia="宋体" w:cs="Times New Roman"/>
                <w:sz w:val="21"/>
                <w:szCs w:val="21"/>
              </w:rPr>
              <w:t>CIF+L/C</w:t>
            </w:r>
            <w:r>
              <w:rPr>
                <w:rFonts w:hint="eastAsia" w:ascii="宋体" w:hAnsi="宋体" w:eastAsia="宋体" w:cs="Times New Roman"/>
                <w:sz w:val="21"/>
                <w:szCs w:val="21"/>
              </w:rPr>
              <w:t>、</w:t>
            </w:r>
            <w:r>
              <w:rPr>
                <w:rFonts w:ascii="宋体" w:hAnsi="宋体" w:eastAsia="宋体" w:cs="Times New Roman"/>
                <w:sz w:val="21"/>
                <w:szCs w:val="21"/>
              </w:rPr>
              <w:t>CIF+/D/A</w:t>
            </w:r>
            <w:r>
              <w:rPr>
                <w:rFonts w:hint="eastAsia" w:ascii="宋体" w:hAnsi="宋体" w:eastAsia="宋体" w:cs="Times New Roman"/>
                <w:sz w:val="21"/>
                <w:szCs w:val="21"/>
              </w:rPr>
              <w:t>、</w:t>
            </w:r>
            <w:r>
              <w:rPr>
                <w:rFonts w:ascii="宋体" w:hAnsi="宋体" w:eastAsia="宋体" w:cs="Times New Roman"/>
                <w:sz w:val="21"/>
                <w:szCs w:val="21"/>
              </w:rPr>
              <w:t>CIF+D/P</w:t>
            </w:r>
            <w:r>
              <w:rPr>
                <w:rFonts w:hint="eastAsia" w:ascii="宋体" w:hAnsi="宋体" w:eastAsia="宋体" w:cs="Times New Roman"/>
                <w:sz w:val="21"/>
                <w:szCs w:val="21"/>
              </w:rPr>
              <w:t>、</w:t>
            </w:r>
            <w:r>
              <w:rPr>
                <w:rFonts w:ascii="宋体" w:hAnsi="宋体" w:eastAsia="宋体" w:cs="Times New Roman"/>
                <w:sz w:val="21"/>
                <w:szCs w:val="21"/>
              </w:rPr>
              <w:t>CIF+T/T Before shipment</w:t>
            </w:r>
            <w:r>
              <w:rPr>
                <w:rFonts w:hint="eastAsia" w:ascii="宋体" w:hAnsi="宋体" w:eastAsia="宋体" w:cs="Times New Roman"/>
                <w:sz w:val="21"/>
                <w:szCs w:val="21"/>
              </w:rPr>
              <w:t>、</w:t>
            </w:r>
            <w:r>
              <w:rPr>
                <w:rFonts w:ascii="宋体" w:hAnsi="宋体" w:eastAsia="宋体" w:cs="Times New Roman"/>
                <w:sz w:val="21"/>
                <w:szCs w:val="21"/>
              </w:rPr>
              <w:t>CIF+T/T After shipment</w:t>
            </w:r>
            <w:r>
              <w:rPr>
                <w:rFonts w:hint="eastAsia" w:ascii="宋体" w:hAnsi="宋体" w:eastAsia="宋体" w:cs="Times New Roman"/>
                <w:sz w:val="21"/>
                <w:szCs w:val="21"/>
              </w:rPr>
              <w:t>、</w:t>
            </w:r>
            <w:r>
              <w:rPr>
                <w:rFonts w:ascii="宋体" w:hAnsi="宋体" w:eastAsia="宋体" w:cs="Times New Roman"/>
                <w:sz w:val="21"/>
                <w:szCs w:val="21"/>
              </w:rPr>
              <w:t>FOB+L/C</w:t>
            </w:r>
            <w:r>
              <w:rPr>
                <w:rFonts w:hint="eastAsia" w:ascii="宋体" w:hAnsi="宋体" w:eastAsia="宋体" w:cs="Times New Roman"/>
                <w:sz w:val="21"/>
                <w:szCs w:val="21"/>
              </w:rPr>
              <w:t>、</w:t>
            </w:r>
            <w:r>
              <w:rPr>
                <w:rFonts w:ascii="宋体" w:hAnsi="宋体" w:eastAsia="宋体" w:cs="Times New Roman"/>
                <w:sz w:val="21"/>
                <w:szCs w:val="21"/>
              </w:rPr>
              <w:t>FOB+/D/A</w:t>
            </w:r>
            <w:r>
              <w:rPr>
                <w:rFonts w:hint="eastAsia" w:ascii="宋体" w:hAnsi="宋体" w:eastAsia="宋体" w:cs="Times New Roman"/>
                <w:sz w:val="21"/>
                <w:szCs w:val="21"/>
              </w:rPr>
              <w:t>、</w:t>
            </w:r>
            <w:r>
              <w:rPr>
                <w:rFonts w:ascii="宋体" w:hAnsi="宋体" w:eastAsia="宋体" w:cs="Times New Roman"/>
                <w:sz w:val="21"/>
                <w:szCs w:val="21"/>
              </w:rPr>
              <w:t>FOB+D/P</w:t>
            </w:r>
            <w:r>
              <w:rPr>
                <w:rFonts w:hint="eastAsia" w:ascii="宋体" w:hAnsi="宋体" w:eastAsia="宋体" w:cs="Times New Roman"/>
                <w:sz w:val="21"/>
                <w:szCs w:val="21"/>
              </w:rPr>
              <w:t>、</w:t>
            </w:r>
            <w:r>
              <w:rPr>
                <w:rFonts w:ascii="宋体" w:hAnsi="宋体" w:eastAsia="宋体" w:cs="Times New Roman"/>
                <w:sz w:val="21"/>
                <w:szCs w:val="21"/>
              </w:rPr>
              <w:t>FOB+T/T Before shipment</w:t>
            </w:r>
            <w:r>
              <w:rPr>
                <w:rFonts w:hint="eastAsia" w:ascii="宋体" w:hAnsi="宋体" w:eastAsia="宋体" w:cs="Times New Roman"/>
                <w:sz w:val="21"/>
                <w:szCs w:val="21"/>
              </w:rPr>
              <w:t>、</w:t>
            </w:r>
            <w:r>
              <w:rPr>
                <w:rFonts w:ascii="宋体" w:hAnsi="宋体" w:eastAsia="宋体" w:cs="Times New Roman"/>
                <w:sz w:val="21"/>
                <w:szCs w:val="21"/>
              </w:rPr>
              <w:t>FOB+T/T After shipment  CFR+L/C</w:t>
            </w:r>
            <w:r>
              <w:rPr>
                <w:rFonts w:hint="eastAsia" w:ascii="宋体" w:hAnsi="宋体" w:eastAsia="宋体" w:cs="Times New Roman"/>
                <w:sz w:val="21"/>
                <w:szCs w:val="21"/>
              </w:rPr>
              <w:t>、</w:t>
            </w:r>
            <w:r>
              <w:rPr>
                <w:rFonts w:ascii="宋体" w:hAnsi="宋体" w:eastAsia="宋体" w:cs="Times New Roman"/>
                <w:sz w:val="21"/>
                <w:szCs w:val="21"/>
              </w:rPr>
              <w:t>CFR+/D/A</w:t>
            </w:r>
            <w:r>
              <w:rPr>
                <w:rFonts w:hint="eastAsia" w:ascii="宋体" w:hAnsi="宋体" w:eastAsia="宋体" w:cs="Times New Roman"/>
                <w:sz w:val="21"/>
                <w:szCs w:val="21"/>
              </w:rPr>
              <w:t>、</w:t>
            </w:r>
            <w:r>
              <w:rPr>
                <w:rFonts w:ascii="宋体" w:hAnsi="宋体" w:eastAsia="宋体" w:cs="Times New Roman"/>
                <w:sz w:val="21"/>
                <w:szCs w:val="21"/>
              </w:rPr>
              <w:t>CFR+D/P</w:t>
            </w:r>
            <w:r>
              <w:rPr>
                <w:rFonts w:hint="eastAsia" w:ascii="宋体" w:hAnsi="宋体" w:eastAsia="宋体" w:cs="Times New Roman"/>
                <w:sz w:val="21"/>
                <w:szCs w:val="21"/>
              </w:rPr>
              <w:t>、</w:t>
            </w:r>
            <w:r>
              <w:rPr>
                <w:rFonts w:ascii="宋体" w:hAnsi="宋体" w:eastAsia="宋体" w:cs="Times New Roman"/>
                <w:sz w:val="21"/>
                <w:szCs w:val="21"/>
              </w:rPr>
              <w:t>CFR+T/T Before shipment</w:t>
            </w:r>
            <w:r>
              <w:rPr>
                <w:rFonts w:hint="eastAsia" w:ascii="宋体" w:hAnsi="宋体" w:eastAsia="宋体" w:cs="Times New Roman"/>
                <w:sz w:val="21"/>
                <w:szCs w:val="21"/>
              </w:rPr>
              <w:t>、</w:t>
            </w:r>
            <w:r>
              <w:rPr>
                <w:rFonts w:ascii="宋体" w:hAnsi="宋体" w:eastAsia="宋体" w:cs="Times New Roman"/>
                <w:sz w:val="21"/>
                <w:szCs w:val="21"/>
              </w:rPr>
              <w:t>CFR+T/T After shipment</w:t>
            </w:r>
            <w:r>
              <w:rPr>
                <w:rFonts w:hint="eastAsia" w:ascii="宋体" w:hAnsi="宋体" w:eastAsia="宋体" w:cs="Times New Roman"/>
                <w:sz w:val="21"/>
                <w:szCs w:val="21"/>
              </w:rPr>
              <w:t>。</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宋体" w:hAnsi="宋体" w:eastAsia="宋体" w:cs="Times New Roman"/>
                <w:sz w:val="21"/>
                <w:szCs w:val="21"/>
              </w:rPr>
            </w:pPr>
            <w:r>
              <w:rPr>
                <w:rFonts w:hint="eastAsia" w:ascii="宋体" w:hAnsi="宋体" w:eastAsia="宋体" w:cs="Times New Roman"/>
                <w:sz w:val="21"/>
                <w:szCs w:val="21"/>
              </w:rPr>
              <w:t>6、</w:t>
            </w:r>
            <w:r>
              <w:rPr>
                <w:rFonts w:ascii="宋体" w:hAnsi="宋体" w:eastAsia="宋体" w:cs="Times New Roman"/>
                <w:sz w:val="21"/>
                <w:szCs w:val="21"/>
              </w:rPr>
              <w:t>学生在软件中可仿真模拟进、出口公司进行国际贸易交易，贸易磋商、签订合同、进出口许可证申请、产地证明、审证改证、开具商业发票、货物托运、商品投保、报关、报验、制单结汇、审单付汇、业务善后、发送单证等环节可得到充分的锻炼和运用</w:t>
            </w:r>
            <w:r>
              <w:rPr>
                <w:rFonts w:hint="eastAsia" w:ascii="宋体" w:hAnsi="宋体" w:eastAsia="宋体" w:cs="Times New Roman"/>
                <w:sz w:val="21"/>
                <w:szCs w:val="21"/>
              </w:rPr>
              <w:t>。集成类似于</w:t>
            </w:r>
            <w:r>
              <w:rPr>
                <w:rFonts w:ascii="宋体" w:hAnsi="宋体" w:eastAsia="宋体" w:cs="Times New Roman"/>
                <w:sz w:val="21"/>
                <w:szCs w:val="21"/>
              </w:rPr>
              <w:t>alibaba</w:t>
            </w:r>
            <w:r>
              <w:rPr>
                <w:rFonts w:hint="eastAsia" w:ascii="宋体" w:hAnsi="宋体" w:eastAsia="宋体" w:cs="Times New Roman"/>
                <w:sz w:val="21"/>
                <w:szCs w:val="21"/>
              </w:rPr>
              <w:t>商贸网的业务交流平台。包含大量供求信息和基础数据</w:t>
            </w:r>
            <w:r>
              <w:rPr>
                <w:rFonts w:ascii="宋体" w:hAnsi="宋体" w:eastAsia="宋体" w:cs="Times New Roman"/>
                <w:sz w:val="21"/>
                <w:szCs w:val="21"/>
              </w:rPr>
              <w:t xml:space="preserve"> </w:t>
            </w:r>
            <w:r>
              <w:rPr>
                <w:rFonts w:hint="eastAsia" w:ascii="宋体" w:hAnsi="宋体" w:eastAsia="宋体" w:cs="Times New Roman"/>
                <w:sz w:val="21"/>
                <w:szCs w:val="21"/>
              </w:rPr>
              <w:t>，进口商与出口商在平台发生交互，能很快地熟练运用进出口的成本核算、询盘、报盘、还盘等各种基本技巧。</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宋体" w:hAnsi="宋体" w:eastAsia="宋体" w:cs="Times New Roman"/>
                <w:sz w:val="21"/>
                <w:szCs w:val="21"/>
              </w:rPr>
            </w:pPr>
            <w:r>
              <w:rPr>
                <w:rFonts w:hint="eastAsia" w:ascii="宋体" w:hAnsi="宋体" w:eastAsia="宋体" w:cs="Times New Roman"/>
                <w:sz w:val="21"/>
                <w:szCs w:val="21"/>
              </w:rPr>
              <w:t>7、</w:t>
            </w:r>
            <w:r>
              <w:rPr>
                <w:rFonts w:hint="eastAsia" w:ascii="宋体" w:hAnsi="宋体" w:eastAsia="宋体" w:cs="宋体"/>
                <w:sz w:val="21"/>
                <w:szCs w:val="21"/>
              </w:rPr>
              <w:t>可以配置进口商、出口商、进口地银行、出口地银行、国税局、海关、商检局、保险公司、货代公司、外汇管理局等相关参数和业务，在实训过程中可以分组、分角色进行互动、交互式训练。</w:t>
            </w:r>
            <w:r>
              <w:rPr>
                <w:rFonts w:hint="eastAsia" w:ascii="宋体" w:hAnsi="宋体" w:eastAsia="宋体" w:cs="Times New Roman"/>
                <w:b/>
                <w:bCs/>
                <w:sz w:val="21"/>
                <w:szCs w:val="21"/>
              </w:rPr>
              <w:t>角色扮演</w:t>
            </w:r>
            <w:r>
              <w:rPr>
                <w:rFonts w:hint="eastAsia" w:ascii="宋体" w:hAnsi="宋体" w:eastAsia="宋体" w:cs="Times New Roman"/>
                <w:b/>
                <w:sz w:val="21"/>
                <w:szCs w:val="21"/>
              </w:rPr>
              <w:t>：</w:t>
            </w:r>
            <w:r>
              <w:rPr>
                <w:rFonts w:hint="eastAsia" w:ascii="宋体" w:hAnsi="宋体" w:eastAsia="宋体" w:cs="Times New Roman"/>
                <w:sz w:val="21"/>
                <w:szCs w:val="21"/>
              </w:rPr>
              <w:t>出口商、进口商、生产商（工厂）、进口银行、出口银行、保险公司、商检局、海关、外汇管理局、货代、国税局。</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宋体" w:hAnsi="宋体" w:eastAsia="宋体" w:cs="Times New Roman"/>
                <w:sz w:val="21"/>
                <w:szCs w:val="21"/>
              </w:rPr>
            </w:pPr>
            <w:r>
              <w:rPr>
                <w:rFonts w:hint="eastAsia" w:ascii="宋体" w:hAnsi="宋体" w:eastAsia="宋体" w:cs="Times New Roman"/>
                <w:sz w:val="21"/>
                <w:szCs w:val="21"/>
              </w:rPr>
              <w:t>8、教师为参加实习的学生分配角色，设定实习评分标准、实时监控学生的操作，并且对于模拟贸易中发生的纠纷进行仲裁，最终利用评分系统对学生的实习成果给予评定，教师通过在网站发布新闻、调整商品成本和价格、调整汇率、业务费用、海运费、保险费率及突发事件的发生概率等方式对国际贸易环境实施宏观调控，让学生在实习中充分发挥主观能动性。</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宋体" w:hAnsi="宋体" w:eastAsia="宋体" w:cs="Times New Roman"/>
                <w:sz w:val="21"/>
                <w:szCs w:val="21"/>
              </w:rPr>
            </w:pPr>
            <w:r>
              <w:rPr>
                <w:rFonts w:hint="eastAsia" w:ascii="宋体" w:hAnsi="宋体" w:eastAsia="宋体" w:cs="Times New Roman"/>
                <w:sz w:val="21"/>
                <w:szCs w:val="21"/>
              </w:rPr>
              <w:t>9、在线跟踪模块主要记录了该教师下所有学生操作案例的记录。教师可以查看到扮演任何角色的每个学生每一个交易操作。</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宋体" w:hAnsi="宋体" w:eastAsia="宋体" w:cs="Times New Roman"/>
                <w:sz w:val="21"/>
                <w:szCs w:val="21"/>
              </w:rPr>
            </w:pPr>
            <w:r>
              <w:rPr>
                <w:rFonts w:hint="eastAsia" w:ascii="宋体" w:hAnsi="宋体" w:eastAsia="宋体" w:cs="Times New Roman"/>
                <w:sz w:val="21"/>
                <w:szCs w:val="21"/>
              </w:rPr>
              <w:t>10、系统模拟了国际贸易业务涉及的多种机构（商检局、海关、外汇管理局、国税局等）的功能，学生通过软件的实训，可以了解不同机构在国际贸易业务流程中的作用。</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宋体" w:hAnsi="宋体" w:eastAsia="宋体" w:cs="Times New Roman"/>
                <w:sz w:val="21"/>
                <w:szCs w:val="21"/>
              </w:rPr>
            </w:pPr>
            <w:r>
              <w:rPr>
                <w:rFonts w:hint="eastAsia" w:ascii="宋体" w:hAnsi="宋体" w:eastAsia="宋体" w:cs="Times New Roman"/>
                <w:sz w:val="21"/>
                <w:szCs w:val="21"/>
              </w:rPr>
              <w:t>11、系统中需具备国际贸易网络平台，平台的前台页面需包含商业机会、公司库、产品库、费用查询、银行、知识库；平台可注册后台，进口商、出口商、生产商注册后台后可进行供求信息的发布和网络广告的而发布。</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宋体" w:hAnsi="宋体" w:eastAsia="宋体" w:cs="Times New Roman"/>
                <w:sz w:val="21"/>
                <w:szCs w:val="21"/>
              </w:rPr>
            </w:pPr>
            <w:r>
              <w:rPr>
                <w:rFonts w:hint="eastAsia" w:ascii="宋体" w:hAnsi="宋体" w:eastAsia="宋体" w:cs="Times New Roman"/>
                <w:sz w:val="21"/>
                <w:szCs w:val="21"/>
              </w:rPr>
              <w:t>12、网络平台中提供费用查询板块，可用于系统中进出口费用核算。可查询运输费用、业务费用、保险费用、税则费用、国内港口查询、国外港口查询。</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宋体" w:hAnsi="宋体" w:eastAsia="宋体"/>
                <w:sz w:val="24"/>
                <w:szCs w:val="24"/>
              </w:rPr>
            </w:pPr>
            <w:r>
              <w:rPr>
                <w:rFonts w:hint="eastAsia" w:ascii="宋体" w:hAnsi="宋体" w:eastAsia="宋体" w:cs="Times New Roman"/>
                <w:sz w:val="21"/>
                <w:szCs w:val="21"/>
              </w:rPr>
              <w:t>13、网络平台需提供知识库，涉及外贸入门（国际贸易术语、国际贸易基础理论、标准合同等相关基础知识）；业务流程图（15种外贸业务流程图展示）；往来函电（函电教程、函电案例、函电范本）；单据详解（保险单、汇票、普惠制产地证、商业发票等单据的详解）；贸易常识（进出口贸易知识和常识）；案例知识（提供多种教学案例和实务案例）；外贸实务（提供进出口、报关报检、外贸单证、外贸技巧、国际结算、出口退税、外贸方式、国际货运）；法律法规（提供对外贸易、海关税收、知识产权、检疫法规、配额和许可证、出口退税、货运法规等法律法规知识）。</w:t>
            </w:r>
            <w:bookmarkEnd w:id="0"/>
          </w:p>
        </w:tc>
        <w:tc>
          <w:tcPr>
            <w:tcW w:w="795" w:type="dxa"/>
          </w:tcPr>
          <w:p>
            <w:pPr>
              <w:spacing w:after="0" w:line="360" w:lineRule="auto"/>
              <w:rPr>
                <w:rFonts w:hint="eastAsia" w:ascii="宋体" w:hAnsi="宋体" w:eastAsia="宋体"/>
                <w:sz w:val="24"/>
                <w:szCs w:val="24"/>
              </w:rPr>
            </w:pPr>
            <w:r>
              <w:rPr>
                <w:rFonts w:hint="eastAsia" w:ascii="宋体" w:hAnsi="宋体" w:eastAsia="宋体"/>
                <w:sz w:val="24"/>
                <w:szCs w:val="24"/>
              </w:rPr>
              <w:t>1套</w:t>
            </w:r>
          </w:p>
        </w:tc>
        <w:tc>
          <w:tcPr>
            <w:tcW w:w="1210" w:type="dxa"/>
          </w:tcPr>
          <w:p>
            <w:pPr>
              <w:spacing w:after="0" w:line="360" w:lineRule="auto"/>
              <w:jc w:val="center"/>
              <w:rPr>
                <w:rFonts w:hint="eastAsia" w:ascii="宋体" w:hAnsi="宋体" w:eastAsia="宋体"/>
                <w:sz w:val="24"/>
                <w:szCs w:val="24"/>
              </w:rPr>
            </w:pPr>
          </w:p>
        </w:tc>
      </w:tr>
    </w:tbl>
    <w:p>
      <w:pPr>
        <w:spacing w:after="0" w:line="360" w:lineRule="auto"/>
        <w:rPr>
          <w:rFonts w:ascii="宋体" w:hAnsi="宋体" w:eastAsia="宋体"/>
          <w:sz w:val="24"/>
          <w:szCs w:val="24"/>
        </w:rPr>
      </w:pP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docVars>
    <w:docVar w:name="commondata" w:val="eyJoZGlkIjoiMmEzOGZkYTRhMzc4ZmQ1MzEzMmE4OGJhNTVjNTU5NjcifQ=="/>
  </w:docVars>
  <w:rsids>
    <w:rsidRoot w:val="00D31D50"/>
    <w:rsid w:val="00001762"/>
    <w:rsid w:val="000B525C"/>
    <w:rsid w:val="00203245"/>
    <w:rsid w:val="00323B43"/>
    <w:rsid w:val="003D37D8"/>
    <w:rsid w:val="00426133"/>
    <w:rsid w:val="004358AB"/>
    <w:rsid w:val="00530D0F"/>
    <w:rsid w:val="005B4E61"/>
    <w:rsid w:val="00663A87"/>
    <w:rsid w:val="00773894"/>
    <w:rsid w:val="00777555"/>
    <w:rsid w:val="008525FB"/>
    <w:rsid w:val="008B7726"/>
    <w:rsid w:val="008F3AF2"/>
    <w:rsid w:val="00A90B31"/>
    <w:rsid w:val="00D07297"/>
    <w:rsid w:val="00D31D50"/>
    <w:rsid w:val="0CCD560C"/>
    <w:rsid w:val="0FF47ED6"/>
    <w:rsid w:val="793B5765"/>
    <w:rsid w:val="7AC05F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jc w:val="center"/>
    </w:pPr>
    <w:rPr>
      <w:sz w:val="18"/>
      <w:szCs w:val="18"/>
    </w:rPr>
  </w:style>
  <w:style w:type="table" w:styleId="5">
    <w:name w:val="Table Grid"/>
    <w:basedOn w:val="4"/>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semiHidden/>
    <w:qFormat/>
    <w:uiPriority w:val="99"/>
    <w:rPr>
      <w:rFonts w:ascii="Tahoma" w:hAnsi="Tahoma"/>
      <w:sz w:val="18"/>
      <w:szCs w:val="18"/>
    </w:rPr>
  </w:style>
  <w:style w:type="character" w:customStyle="1" w:styleId="8">
    <w:name w:val="页脚 Char"/>
    <w:basedOn w:val="6"/>
    <w:link w:val="2"/>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18</Pages>
  <Words>9184</Words>
  <Characters>9823</Characters>
  <Lines>71</Lines>
  <Paragraphs>20</Paragraphs>
  <TotalTime>33</TotalTime>
  <ScaleCrop>false</ScaleCrop>
  <LinksUpToDate>false</LinksUpToDate>
  <CharactersWithSpaces>9892</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WSJ</dc:creator>
  <cp:lastModifiedBy>新华～保</cp:lastModifiedBy>
  <dcterms:modified xsi:type="dcterms:W3CDTF">2023-08-02T12:24:04Z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D8F47BAECA9740B7A2C270DF45851CF2_12</vt:lpwstr>
  </property>
</Properties>
</file>