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7A8CB">
      <w:pPr>
        <w:pStyle w:val="2"/>
        <w:rPr>
          <w:rFonts w:hint="eastAsia" w:ascii="宋体" w:hAnsi="宋体" w:cs="方正仿宋_GBK"/>
          <w:b/>
          <w:bCs/>
          <w:sz w:val="24"/>
          <w:lang w:val="en-US" w:eastAsia="zh-CN"/>
        </w:rPr>
      </w:pPr>
      <w:r>
        <w:rPr>
          <w:rFonts w:hint="eastAsia" w:ascii="宋体" w:hAnsi="宋体" w:cs="方正仿宋_GBK"/>
          <w:b/>
          <w:bCs/>
          <w:sz w:val="24"/>
          <w:lang w:val="en-US" w:eastAsia="zh-CN"/>
        </w:rPr>
        <w:t>附件1 消防维保、检测服务区域及报价表</w:t>
      </w:r>
    </w:p>
    <w:tbl>
      <w:tblPr>
        <w:tblStyle w:val="6"/>
        <w:tblW w:w="97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484"/>
        <w:gridCol w:w="2706"/>
        <w:gridCol w:w="1440"/>
        <w:gridCol w:w="1470"/>
        <w:gridCol w:w="849"/>
      </w:tblGrid>
      <w:tr w14:paraId="2DBB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744" w:type="dxa"/>
            <w:gridSpan w:val="6"/>
            <w:tcBorders>
              <w:top w:val="nil"/>
              <w:left w:val="nil"/>
              <w:bottom w:val="nil"/>
              <w:right w:val="nil"/>
            </w:tcBorders>
            <w:shd w:val="clear" w:color="auto" w:fill="auto"/>
            <w:noWrap/>
            <w:vAlign w:val="center"/>
          </w:tcPr>
          <w:p w14:paraId="0B77AAE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消防维保服务区域及报价表</w:t>
            </w:r>
          </w:p>
        </w:tc>
      </w:tr>
      <w:tr w14:paraId="0D70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79016FA8">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4A806494">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楼宇名称</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top"/>
          </w:tcPr>
          <w:p w14:paraId="758E1885">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建筑面积（平方米）</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6463CFE9">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单价（元/平方米/年）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14:paraId="29AD8846">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top"/>
          </w:tcPr>
          <w:p w14:paraId="4920C48A">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49A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25171A5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558F54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w:t>
            </w:r>
          </w:p>
        </w:tc>
        <w:tc>
          <w:tcPr>
            <w:tcW w:w="2706" w:type="dxa"/>
            <w:vMerge w:val="restart"/>
            <w:tcBorders>
              <w:top w:val="single" w:color="000000" w:sz="4" w:space="0"/>
              <w:left w:val="single" w:color="000000" w:sz="4" w:space="0"/>
              <w:right w:val="single" w:color="000000" w:sz="4" w:space="0"/>
            </w:tcBorders>
            <w:shd w:val="clear" w:color="auto" w:fill="auto"/>
            <w:vAlign w:val="top"/>
          </w:tcPr>
          <w:p w14:paraId="27988F3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p w14:paraId="1F4FB614">
            <w:pPr>
              <w:pStyle w:val="2"/>
              <w:rPr>
                <w:rFonts w:hint="eastAsia" w:ascii="宋体" w:hAnsi="宋体" w:eastAsia="宋体" w:cs="宋体"/>
                <w:i w:val="0"/>
                <w:iCs w:val="0"/>
                <w:color w:val="000000"/>
                <w:sz w:val="24"/>
                <w:szCs w:val="24"/>
                <w:u w:val="none"/>
              </w:rPr>
            </w:pPr>
          </w:p>
          <w:p w14:paraId="38AECA3C">
            <w:pPr>
              <w:pStyle w:val="3"/>
              <w:rPr>
                <w:rFonts w:hint="eastAsia" w:ascii="宋体" w:hAnsi="宋体" w:eastAsia="宋体" w:cs="宋体"/>
                <w:i w:val="0"/>
                <w:iCs w:val="0"/>
                <w:color w:val="000000"/>
                <w:sz w:val="24"/>
                <w:szCs w:val="24"/>
                <w:u w:val="none"/>
              </w:rPr>
            </w:pPr>
          </w:p>
          <w:p w14:paraId="6D5FB733">
            <w:pPr>
              <w:pStyle w:val="3"/>
              <w:rPr>
                <w:rFonts w:hint="eastAsia" w:ascii="宋体" w:hAnsi="宋体" w:eastAsia="宋体" w:cs="宋体"/>
                <w:i w:val="0"/>
                <w:iCs w:val="0"/>
                <w:color w:val="000000"/>
                <w:sz w:val="24"/>
                <w:szCs w:val="24"/>
                <w:u w:val="none"/>
              </w:rPr>
            </w:pPr>
          </w:p>
          <w:p w14:paraId="224649BA">
            <w:pPr>
              <w:pStyle w:val="3"/>
              <w:rPr>
                <w:rFonts w:hint="eastAsia" w:ascii="宋体" w:hAnsi="宋体" w:eastAsia="宋体" w:cs="宋体"/>
                <w:i w:val="0"/>
                <w:iCs w:val="0"/>
                <w:color w:val="000000"/>
                <w:sz w:val="24"/>
                <w:szCs w:val="24"/>
                <w:u w:val="none"/>
              </w:rPr>
            </w:pPr>
          </w:p>
          <w:p w14:paraId="23751AE0">
            <w:pPr>
              <w:pStyle w:val="3"/>
              <w:rPr>
                <w:rFonts w:hint="eastAsia" w:ascii="宋体" w:hAnsi="宋体" w:eastAsia="宋体" w:cs="宋体"/>
                <w:i w:val="0"/>
                <w:iCs w:val="0"/>
                <w:color w:val="000000"/>
                <w:sz w:val="24"/>
                <w:szCs w:val="24"/>
                <w:u w:val="none"/>
              </w:rPr>
            </w:pPr>
          </w:p>
          <w:p w14:paraId="197903AD">
            <w:pPr>
              <w:pStyle w:val="3"/>
              <w:rPr>
                <w:rFonts w:hint="eastAsia" w:ascii="宋体" w:hAnsi="宋体" w:eastAsia="宋体" w:cs="宋体"/>
                <w:i w:val="0"/>
                <w:iCs w:val="0"/>
                <w:color w:val="000000"/>
                <w:sz w:val="24"/>
                <w:szCs w:val="24"/>
                <w:u w:val="none"/>
              </w:rPr>
            </w:pPr>
          </w:p>
          <w:p w14:paraId="1FF9892B">
            <w:pPr>
              <w:pStyle w:val="3"/>
              <w:ind w:firstLine="720" w:firstLineChars="300"/>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282698.99</w:t>
            </w:r>
          </w:p>
        </w:tc>
        <w:tc>
          <w:tcPr>
            <w:tcW w:w="1440" w:type="dxa"/>
            <w:vMerge w:val="restart"/>
            <w:tcBorders>
              <w:top w:val="single" w:color="000000" w:sz="4" w:space="0"/>
              <w:left w:val="single" w:color="000000" w:sz="4" w:space="0"/>
              <w:right w:val="single" w:color="000000" w:sz="4" w:space="0"/>
            </w:tcBorders>
            <w:shd w:val="clear" w:color="auto" w:fill="auto"/>
            <w:vAlign w:val="top"/>
          </w:tcPr>
          <w:p w14:paraId="13666670">
            <w:pPr>
              <w:jc w:val="center"/>
              <w:rPr>
                <w:rFonts w:hint="eastAsia" w:ascii="宋体" w:hAnsi="宋体" w:eastAsia="宋体" w:cs="宋体"/>
                <w:i w:val="0"/>
                <w:iCs w:val="0"/>
                <w:color w:val="000000"/>
                <w:sz w:val="24"/>
                <w:szCs w:val="24"/>
                <w:u w:val="none"/>
              </w:rPr>
            </w:pPr>
          </w:p>
        </w:tc>
        <w:tc>
          <w:tcPr>
            <w:tcW w:w="1470" w:type="dxa"/>
            <w:vMerge w:val="restart"/>
            <w:tcBorders>
              <w:top w:val="single" w:color="000000" w:sz="4" w:space="0"/>
              <w:left w:val="single" w:color="000000" w:sz="4" w:space="0"/>
              <w:right w:val="single" w:color="000000" w:sz="4" w:space="0"/>
            </w:tcBorders>
            <w:shd w:val="clear" w:color="auto" w:fill="auto"/>
            <w:vAlign w:val="top"/>
          </w:tcPr>
          <w:p w14:paraId="32DA751D">
            <w:pPr>
              <w:jc w:val="center"/>
              <w:rPr>
                <w:rFonts w:hint="eastAsia" w:ascii="宋体" w:hAnsi="宋体" w:eastAsia="宋体" w:cs="宋体"/>
                <w:i w:val="0"/>
                <w:iCs w:val="0"/>
                <w:color w:val="000000"/>
                <w:sz w:val="24"/>
                <w:szCs w:val="24"/>
                <w:u w:val="none"/>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EB0C374">
            <w:pPr>
              <w:keepNext w:val="0"/>
              <w:keepLines w:val="0"/>
              <w:widowControl/>
              <w:suppressLineNumbers w:val="0"/>
              <w:jc w:val="center"/>
              <w:textAlignment w:val="top"/>
              <w:rPr>
                <w:rFonts w:hint="default" w:ascii="宋体" w:hAnsi="宋体" w:eastAsia="宋体" w:cs="宋体"/>
                <w:i w:val="0"/>
                <w:iCs w:val="0"/>
                <w:color w:val="222222"/>
                <w:sz w:val="24"/>
                <w:szCs w:val="24"/>
                <w:u w:val="none"/>
                <w:lang w:val="en-US"/>
              </w:rPr>
            </w:pPr>
            <w:r>
              <w:rPr>
                <w:rFonts w:hint="eastAsia" w:ascii="宋体" w:hAnsi="宋体" w:eastAsia="宋体" w:cs="宋体"/>
                <w:i w:val="0"/>
                <w:iCs w:val="0"/>
                <w:color w:val="222222"/>
                <w:kern w:val="0"/>
                <w:sz w:val="24"/>
                <w:szCs w:val="24"/>
                <w:u w:val="none"/>
                <w:lang w:val="en-US" w:eastAsia="zh-CN" w:bidi="ar"/>
              </w:rPr>
              <w:t xml:space="preserve">               消防维保按照月度进行，具体以实际维保面积为准，提供月度维保报告。</w:t>
            </w:r>
          </w:p>
        </w:tc>
      </w:tr>
      <w:tr w14:paraId="2F04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3B3CF7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2D9D304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实验1#楼</w:t>
            </w:r>
          </w:p>
        </w:tc>
        <w:tc>
          <w:tcPr>
            <w:tcW w:w="2706" w:type="dxa"/>
            <w:vMerge w:val="continue"/>
            <w:tcBorders>
              <w:left w:val="single" w:color="000000" w:sz="4" w:space="0"/>
              <w:right w:val="single" w:color="000000" w:sz="4" w:space="0"/>
            </w:tcBorders>
            <w:shd w:val="clear" w:color="auto" w:fill="auto"/>
            <w:vAlign w:val="top"/>
          </w:tcPr>
          <w:p w14:paraId="6C4F341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top"/>
          </w:tcPr>
          <w:p w14:paraId="6CFAE64F">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top"/>
          </w:tcPr>
          <w:p w14:paraId="5E604E06">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6A2849">
            <w:pPr>
              <w:jc w:val="center"/>
              <w:rPr>
                <w:rFonts w:hint="eastAsia" w:ascii="宋体" w:hAnsi="宋体" w:eastAsia="宋体" w:cs="宋体"/>
                <w:i w:val="0"/>
                <w:iCs w:val="0"/>
                <w:color w:val="222222"/>
                <w:sz w:val="24"/>
                <w:szCs w:val="24"/>
                <w:u w:val="none"/>
              </w:rPr>
            </w:pPr>
          </w:p>
        </w:tc>
      </w:tr>
      <w:tr w14:paraId="3932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62AB6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295AB3E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实验2#楼</w:t>
            </w:r>
          </w:p>
        </w:tc>
        <w:tc>
          <w:tcPr>
            <w:tcW w:w="2706" w:type="dxa"/>
            <w:vMerge w:val="continue"/>
            <w:tcBorders>
              <w:left w:val="single" w:color="000000" w:sz="4" w:space="0"/>
              <w:right w:val="single" w:color="000000" w:sz="4" w:space="0"/>
            </w:tcBorders>
            <w:shd w:val="clear" w:color="auto" w:fill="auto"/>
            <w:vAlign w:val="top"/>
          </w:tcPr>
          <w:p w14:paraId="5AE3D9C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top"/>
          </w:tcPr>
          <w:p w14:paraId="4E39D350">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top"/>
          </w:tcPr>
          <w:p w14:paraId="681A0519">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2EF0F1">
            <w:pPr>
              <w:jc w:val="center"/>
              <w:rPr>
                <w:rFonts w:hint="eastAsia" w:ascii="宋体" w:hAnsi="宋体" w:eastAsia="宋体" w:cs="宋体"/>
                <w:i w:val="0"/>
                <w:iCs w:val="0"/>
                <w:color w:val="222222"/>
                <w:sz w:val="24"/>
                <w:szCs w:val="24"/>
                <w:u w:val="none"/>
              </w:rPr>
            </w:pPr>
          </w:p>
        </w:tc>
      </w:tr>
      <w:tr w14:paraId="2863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E70877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32318A0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公寓1#楼</w:t>
            </w:r>
          </w:p>
        </w:tc>
        <w:tc>
          <w:tcPr>
            <w:tcW w:w="2706" w:type="dxa"/>
            <w:vMerge w:val="continue"/>
            <w:tcBorders>
              <w:left w:val="single" w:color="000000" w:sz="4" w:space="0"/>
              <w:right w:val="single" w:color="000000" w:sz="4" w:space="0"/>
            </w:tcBorders>
            <w:shd w:val="clear" w:color="auto" w:fill="auto"/>
            <w:vAlign w:val="center"/>
          </w:tcPr>
          <w:p w14:paraId="5703D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center"/>
          </w:tcPr>
          <w:p w14:paraId="143ED586">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center"/>
          </w:tcPr>
          <w:p w14:paraId="330ABB32">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94AE6D">
            <w:pPr>
              <w:jc w:val="center"/>
              <w:rPr>
                <w:rFonts w:hint="eastAsia" w:ascii="宋体" w:hAnsi="宋体" w:eastAsia="宋体" w:cs="宋体"/>
                <w:i w:val="0"/>
                <w:iCs w:val="0"/>
                <w:color w:val="222222"/>
                <w:sz w:val="24"/>
                <w:szCs w:val="24"/>
                <w:u w:val="none"/>
              </w:rPr>
            </w:pPr>
          </w:p>
        </w:tc>
      </w:tr>
      <w:tr w14:paraId="4404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731DA19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1DFCB6D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公寓2#楼</w:t>
            </w:r>
          </w:p>
        </w:tc>
        <w:tc>
          <w:tcPr>
            <w:tcW w:w="2706" w:type="dxa"/>
            <w:vMerge w:val="continue"/>
            <w:tcBorders>
              <w:left w:val="single" w:color="000000" w:sz="4" w:space="0"/>
              <w:right w:val="single" w:color="000000" w:sz="4" w:space="0"/>
            </w:tcBorders>
            <w:shd w:val="clear" w:color="auto" w:fill="auto"/>
            <w:vAlign w:val="center"/>
          </w:tcPr>
          <w:p w14:paraId="165D3910">
            <w:pPr>
              <w:jc w:val="center"/>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center"/>
          </w:tcPr>
          <w:p w14:paraId="562A2034">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center"/>
          </w:tcPr>
          <w:p w14:paraId="1CA9EDF6">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D16ADA">
            <w:pPr>
              <w:jc w:val="center"/>
              <w:rPr>
                <w:rFonts w:hint="eastAsia" w:ascii="宋体" w:hAnsi="宋体" w:eastAsia="宋体" w:cs="宋体"/>
                <w:i w:val="0"/>
                <w:iCs w:val="0"/>
                <w:color w:val="222222"/>
                <w:sz w:val="24"/>
                <w:szCs w:val="24"/>
                <w:u w:val="none"/>
              </w:rPr>
            </w:pPr>
          </w:p>
        </w:tc>
      </w:tr>
      <w:tr w14:paraId="0233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E7D79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7350DE4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公寓3#楼</w:t>
            </w:r>
          </w:p>
        </w:tc>
        <w:tc>
          <w:tcPr>
            <w:tcW w:w="2706" w:type="dxa"/>
            <w:vMerge w:val="continue"/>
            <w:tcBorders>
              <w:left w:val="single" w:color="000000" w:sz="4" w:space="0"/>
              <w:right w:val="single" w:color="000000" w:sz="4" w:space="0"/>
            </w:tcBorders>
            <w:shd w:val="clear" w:color="auto" w:fill="auto"/>
            <w:vAlign w:val="center"/>
          </w:tcPr>
          <w:p w14:paraId="5FDDA212">
            <w:pPr>
              <w:jc w:val="center"/>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center"/>
          </w:tcPr>
          <w:p w14:paraId="3E56DBC1">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center"/>
          </w:tcPr>
          <w:p w14:paraId="122944D4">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BF74DF">
            <w:pPr>
              <w:jc w:val="center"/>
              <w:rPr>
                <w:rFonts w:hint="eastAsia" w:ascii="宋体" w:hAnsi="宋体" w:eastAsia="宋体" w:cs="宋体"/>
                <w:i w:val="0"/>
                <w:iCs w:val="0"/>
                <w:color w:val="222222"/>
                <w:sz w:val="24"/>
                <w:szCs w:val="24"/>
                <w:u w:val="none"/>
              </w:rPr>
            </w:pPr>
          </w:p>
        </w:tc>
      </w:tr>
      <w:tr w14:paraId="4AA4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760DDFC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05FB9B3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经营用房和活动中心</w:t>
            </w:r>
          </w:p>
        </w:tc>
        <w:tc>
          <w:tcPr>
            <w:tcW w:w="2706" w:type="dxa"/>
            <w:vMerge w:val="continue"/>
            <w:tcBorders>
              <w:left w:val="single" w:color="000000" w:sz="4" w:space="0"/>
              <w:right w:val="single" w:color="000000" w:sz="4" w:space="0"/>
            </w:tcBorders>
            <w:shd w:val="clear" w:color="auto" w:fill="auto"/>
            <w:vAlign w:val="center"/>
          </w:tcPr>
          <w:p w14:paraId="43C4C54A">
            <w:pPr>
              <w:jc w:val="center"/>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center"/>
          </w:tcPr>
          <w:p w14:paraId="778602DF">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center"/>
          </w:tcPr>
          <w:p w14:paraId="48444B7D">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5E6AE0">
            <w:pPr>
              <w:jc w:val="center"/>
              <w:rPr>
                <w:rFonts w:hint="eastAsia" w:ascii="宋体" w:hAnsi="宋体" w:eastAsia="宋体" w:cs="宋体"/>
                <w:i w:val="0"/>
                <w:iCs w:val="0"/>
                <w:color w:val="222222"/>
                <w:sz w:val="24"/>
                <w:szCs w:val="24"/>
                <w:u w:val="none"/>
              </w:rPr>
            </w:pPr>
          </w:p>
        </w:tc>
      </w:tr>
      <w:tr w14:paraId="1E0B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79326DB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37CD8BE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公寓4#楼</w:t>
            </w:r>
          </w:p>
        </w:tc>
        <w:tc>
          <w:tcPr>
            <w:tcW w:w="2706" w:type="dxa"/>
            <w:vMerge w:val="continue"/>
            <w:tcBorders>
              <w:left w:val="single" w:color="000000" w:sz="4" w:space="0"/>
              <w:right w:val="single" w:color="000000" w:sz="4" w:space="0"/>
            </w:tcBorders>
            <w:shd w:val="clear" w:color="auto" w:fill="auto"/>
            <w:vAlign w:val="top"/>
          </w:tcPr>
          <w:p w14:paraId="2AADBF1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top"/>
          </w:tcPr>
          <w:p w14:paraId="173A1A08">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top"/>
          </w:tcPr>
          <w:p w14:paraId="424AF7C0">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A76B75">
            <w:pPr>
              <w:jc w:val="center"/>
              <w:rPr>
                <w:rFonts w:hint="eastAsia" w:ascii="宋体" w:hAnsi="宋体" w:eastAsia="宋体" w:cs="宋体"/>
                <w:i w:val="0"/>
                <w:iCs w:val="0"/>
                <w:color w:val="222222"/>
                <w:sz w:val="24"/>
                <w:szCs w:val="24"/>
                <w:u w:val="none"/>
              </w:rPr>
            </w:pPr>
          </w:p>
        </w:tc>
      </w:tr>
      <w:tr w14:paraId="0610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5549B1A0">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501621C7">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公寓6#楼</w:t>
            </w:r>
          </w:p>
        </w:tc>
        <w:tc>
          <w:tcPr>
            <w:tcW w:w="2706" w:type="dxa"/>
            <w:vMerge w:val="continue"/>
            <w:tcBorders>
              <w:left w:val="single" w:color="000000" w:sz="4" w:space="0"/>
              <w:right w:val="single" w:color="000000" w:sz="4" w:space="0"/>
            </w:tcBorders>
            <w:shd w:val="clear" w:color="auto" w:fill="auto"/>
            <w:vAlign w:val="top"/>
          </w:tcPr>
          <w:p w14:paraId="7F66A92E">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1440" w:type="dxa"/>
            <w:vMerge w:val="continue"/>
            <w:tcBorders>
              <w:left w:val="single" w:color="000000" w:sz="4" w:space="0"/>
              <w:right w:val="single" w:color="000000" w:sz="4" w:space="0"/>
            </w:tcBorders>
            <w:shd w:val="clear" w:color="auto" w:fill="auto"/>
            <w:vAlign w:val="top"/>
          </w:tcPr>
          <w:p w14:paraId="47C84659">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top"/>
          </w:tcPr>
          <w:p w14:paraId="3E87129A">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D5E0D3">
            <w:pPr>
              <w:jc w:val="center"/>
              <w:rPr>
                <w:rFonts w:hint="eastAsia" w:ascii="宋体" w:hAnsi="宋体" w:eastAsia="宋体" w:cs="宋体"/>
                <w:i w:val="0"/>
                <w:iCs w:val="0"/>
                <w:color w:val="222222"/>
                <w:sz w:val="24"/>
                <w:szCs w:val="24"/>
                <w:u w:val="none"/>
              </w:rPr>
            </w:pPr>
          </w:p>
        </w:tc>
      </w:tr>
      <w:tr w14:paraId="1AA0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5B80BF1C">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6C3A771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公寓8#楼</w:t>
            </w:r>
          </w:p>
        </w:tc>
        <w:tc>
          <w:tcPr>
            <w:tcW w:w="2706" w:type="dxa"/>
            <w:vMerge w:val="continue"/>
            <w:tcBorders>
              <w:left w:val="single" w:color="000000" w:sz="4" w:space="0"/>
              <w:right w:val="single" w:color="000000" w:sz="4" w:space="0"/>
            </w:tcBorders>
            <w:shd w:val="clear" w:color="auto" w:fill="auto"/>
            <w:vAlign w:val="top"/>
          </w:tcPr>
          <w:p w14:paraId="4DFF17D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top"/>
          </w:tcPr>
          <w:p w14:paraId="3DFDBB60">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top"/>
          </w:tcPr>
          <w:p w14:paraId="52B92A3D">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18909E">
            <w:pPr>
              <w:jc w:val="center"/>
              <w:rPr>
                <w:rFonts w:hint="eastAsia" w:ascii="宋体" w:hAnsi="宋体" w:eastAsia="宋体" w:cs="宋体"/>
                <w:i w:val="0"/>
                <w:iCs w:val="0"/>
                <w:color w:val="222222"/>
                <w:sz w:val="24"/>
                <w:szCs w:val="24"/>
                <w:u w:val="none"/>
              </w:rPr>
            </w:pPr>
          </w:p>
        </w:tc>
      </w:tr>
      <w:tr w14:paraId="65AD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7E83FD6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35DCB44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公寓10#楼</w:t>
            </w:r>
          </w:p>
        </w:tc>
        <w:tc>
          <w:tcPr>
            <w:tcW w:w="2706" w:type="dxa"/>
            <w:vMerge w:val="continue"/>
            <w:tcBorders>
              <w:left w:val="single" w:color="000000" w:sz="4" w:space="0"/>
              <w:right w:val="single" w:color="000000" w:sz="4" w:space="0"/>
            </w:tcBorders>
            <w:shd w:val="clear" w:color="auto" w:fill="auto"/>
            <w:vAlign w:val="top"/>
          </w:tcPr>
          <w:p w14:paraId="257690A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top"/>
          </w:tcPr>
          <w:p w14:paraId="1F2066FA">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top"/>
          </w:tcPr>
          <w:p w14:paraId="22111972">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2037DE">
            <w:pPr>
              <w:jc w:val="center"/>
              <w:rPr>
                <w:rFonts w:hint="eastAsia" w:ascii="宋体" w:hAnsi="宋体" w:eastAsia="宋体" w:cs="宋体"/>
                <w:i w:val="0"/>
                <w:iCs w:val="0"/>
                <w:color w:val="222222"/>
                <w:sz w:val="24"/>
                <w:szCs w:val="24"/>
                <w:u w:val="none"/>
              </w:rPr>
            </w:pPr>
          </w:p>
        </w:tc>
      </w:tr>
      <w:tr w14:paraId="74DA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E42CA88">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46690290">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公寓11#楼</w:t>
            </w:r>
          </w:p>
        </w:tc>
        <w:tc>
          <w:tcPr>
            <w:tcW w:w="2706" w:type="dxa"/>
            <w:vMerge w:val="continue"/>
            <w:tcBorders>
              <w:left w:val="single" w:color="000000" w:sz="4" w:space="0"/>
              <w:right w:val="single" w:color="000000" w:sz="4" w:space="0"/>
            </w:tcBorders>
            <w:shd w:val="clear" w:color="auto" w:fill="auto"/>
            <w:vAlign w:val="top"/>
          </w:tcPr>
          <w:p w14:paraId="3C3EBD22">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1440" w:type="dxa"/>
            <w:vMerge w:val="continue"/>
            <w:tcBorders>
              <w:left w:val="single" w:color="000000" w:sz="4" w:space="0"/>
              <w:right w:val="single" w:color="000000" w:sz="4" w:space="0"/>
            </w:tcBorders>
            <w:shd w:val="clear" w:color="auto" w:fill="auto"/>
            <w:vAlign w:val="top"/>
          </w:tcPr>
          <w:p w14:paraId="3E03842A">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top"/>
          </w:tcPr>
          <w:p w14:paraId="4C1C01F4">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FD8166">
            <w:pPr>
              <w:jc w:val="center"/>
              <w:rPr>
                <w:rFonts w:hint="eastAsia" w:ascii="宋体" w:hAnsi="宋体" w:eastAsia="宋体" w:cs="宋体"/>
                <w:i w:val="0"/>
                <w:iCs w:val="0"/>
                <w:color w:val="222222"/>
                <w:sz w:val="24"/>
                <w:szCs w:val="24"/>
                <w:u w:val="none"/>
              </w:rPr>
            </w:pPr>
          </w:p>
        </w:tc>
      </w:tr>
      <w:tr w14:paraId="4152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287F128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27A6AE0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w:t>
            </w:r>
          </w:p>
        </w:tc>
        <w:tc>
          <w:tcPr>
            <w:tcW w:w="2706" w:type="dxa"/>
            <w:vMerge w:val="continue"/>
            <w:tcBorders>
              <w:left w:val="single" w:color="000000" w:sz="4" w:space="0"/>
              <w:right w:val="single" w:color="000000" w:sz="4" w:space="0"/>
            </w:tcBorders>
            <w:shd w:val="clear" w:color="auto" w:fill="auto"/>
            <w:vAlign w:val="top"/>
          </w:tcPr>
          <w:p w14:paraId="6976D68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top"/>
          </w:tcPr>
          <w:p w14:paraId="087F231C">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top"/>
          </w:tcPr>
          <w:p w14:paraId="1212A422">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25B308">
            <w:pPr>
              <w:jc w:val="center"/>
              <w:rPr>
                <w:rFonts w:hint="eastAsia" w:ascii="宋体" w:hAnsi="宋体" w:eastAsia="宋体" w:cs="宋体"/>
                <w:i w:val="0"/>
                <w:iCs w:val="0"/>
                <w:color w:val="222222"/>
                <w:sz w:val="24"/>
                <w:szCs w:val="24"/>
                <w:u w:val="none"/>
              </w:rPr>
            </w:pPr>
          </w:p>
        </w:tc>
      </w:tr>
      <w:tr w14:paraId="310F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920870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72A6BCC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1#生活服务中心</w:t>
            </w:r>
          </w:p>
        </w:tc>
        <w:tc>
          <w:tcPr>
            <w:tcW w:w="2706" w:type="dxa"/>
            <w:vMerge w:val="continue"/>
            <w:tcBorders>
              <w:left w:val="single" w:color="000000" w:sz="4" w:space="0"/>
              <w:right w:val="single" w:color="000000" w:sz="4" w:space="0"/>
            </w:tcBorders>
            <w:shd w:val="clear" w:color="auto" w:fill="auto"/>
            <w:vAlign w:val="top"/>
          </w:tcPr>
          <w:p w14:paraId="378F62B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440" w:type="dxa"/>
            <w:vMerge w:val="continue"/>
            <w:tcBorders>
              <w:left w:val="single" w:color="000000" w:sz="4" w:space="0"/>
              <w:right w:val="single" w:color="000000" w:sz="4" w:space="0"/>
            </w:tcBorders>
            <w:shd w:val="clear" w:color="auto" w:fill="auto"/>
            <w:vAlign w:val="top"/>
          </w:tcPr>
          <w:p w14:paraId="6F47E105">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right w:val="single" w:color="000000" w:sz="4" w:space="0"/>
            </w:tcBorders>
            <w:shd w:val="clear" w:color="auto" w:fill="auto"/>
            <w:vAlign w:val="top"/>
          </w:tcPr>
          <w:p w14:paraId="46FEB98B">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B23542">
            <w:pPr>
              <w:jc w:val="center"/>
              <w:rPr>
                <w:rFonts w:hint="eastAsia" w:ascii="宋体" w:hAnsi="宋体" w:eastAsia="宋体" w:cs="宋体"/>
                <w:i w:val="0"/>
                <w:iCs w:val="0"/>
                <w:color w:val="222222"/>
                <w:sz w:val="24"/>
                <w:szCs w:val="24"/>
                <w:u w:val="none"/>
              </w:rPr>
            </w:pPr>
          </w:p>
        </w:tc>
      </w:tr>
      <w:tr w14:paraId="29EC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5BE070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top"/>
          </w:tcPr>
          <w:p w14:paraId="2BAFAFD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2#生活服务中心</w:t>
            </w:r>
          </w:p>
        </w:tc>
        <w:tc>
          <w:tcPr>
            <w:tcW w:w="2706" w:type="dxa"/>
            <w:vMerge w:val="continue"/>
            <w:tcBorders>
              <w:left w:val="single" w:color="000000" w:sz="4" w:space="0"/>
              <w:bottom w:val="single" w:color="000000" w:sz="4" w:space="0"/>
              <w:right w:val="single" w:color="000000" w:sz="4" w:space="0"/>
            </w:tcBorders>
            <w:shd w:val="clear" w:color="auto" w:fill="auto"/>
            <w:vAlign w:val="top"/>
          </w:tcPr>
          <w:p w14:paraId="555921A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440" w:type="dxa"/>
            <w:vMerge w:val="continue"/>
            <w:tcBorders>
              <w:left w:val="single" w:color="000000" w:sz="4" w:space="0"/>
              <w:bottom w:val="single" w:color="000000" w:sz="4" w:space="0"/>
              <w:right w:val="single" w:color="000000" w:sz="4" w:space="0"/>
            </w:tcBorders>
            <w:shd w:val="clear" w:color="auto" w:fill="auto"/>
            <w:vAlign w:val="top"/>
          </w:tcPr>
          <w:p w14:paraId="384B64F3">
            <w:pPr>
              <w:jc w:val="center"/>
              <w:rPr>
                <w:rFonts w:hint="eastAsia" w:ascii="宋体" w:hAnsi="宋体" w:eastAsia="宋体" w:cs="宋体"/>
                <w:i w:val="0"/>
                <w:iCs w:val="0"/>
                <w:color w:val="000000"/>
                <w:sz w:val="24"/>
                <w:szCs w:val="24"/>
                <w:u w:val="none"/>
              </w:rPr>
            </w:pPr>
          </w:p>
        </w:tc>
        <w:tc>
          <w:tcPr>
            <w:tcW w:w="1470" w:type="dxa"/>
            <w:vMerge w:val="continue"/>
            <w:tcBorders>
              <w:left w:val="single" w:color="000000" w:sz="4" w:space="0"/>
              <w:bottom w:val="single" w:color="000000" w:sz="4" w:space="0"/>
              <w:right w:val="single" w:color="000000" w:sz="4" w:space="0"/>
            </w:tcBorders>
            <w:shd w:val="clear" w:color="auto" w:fill="auto"/>
            <w:vAlign w:val="top"/>
          </w:tcPr>
          <w:p w14:paraId="2312D33A">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482B87">
            <w:pPr>
              <w:jc w:val="center"/>
              <w:rPr>
                <w:rFonts w:hint="eastAsia" w:ascii="宋体" w:hAnsi="宋体" w:eastAsia="宋体" w:cs="宋体"/>
                <w:i w:val="0"/>
                <w:iCs w:val="0"/>
                <w:color w:val="222222"/>
                <w:sz w:val="24"/>
                <w:szCs w:val="24"/>
                <w:u w:val="none"/>
              </w:rPr>
            </w:pPr>
          </w:p>
        </w:tc>
      </w:tr>
      <w:tr w14:paraId="5E6F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C3798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E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282698.99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4EB1">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5871">
            <w:pPr>
              <w:jc w:val="center"/>
              <w:rPr>
                <w:rFonts w:hint="eastAsia" w:ascii="宋体" w:hAnsi="宋体" w:eastAsia="宋体" w:cs="宋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1BBBFC">
            <w:pPr>
              <w:jc w:val="center"/>
              <w:rPr>
                <w:rFonts w:hint="eastAsia" w:ascii="宋体" w:hAnsi="宋体" w:eastAsia="宋体" w:cs="宋体"/>
                <w:i w:val="0"/>
                <w:iCs w:val="0"/>
                <w:color w:val="222222"/>
                <w:sz w:val="24"/>
                <w:szCs w:val="24"/>
                <w:u w:val="none"/>
              </w:rPr>
            </w:pPr>
          </w:p>
        </w:tc>
      </w:tr>
    </w:tbl>
    <w:p w14:paraId="0748C86A">
      <w:pPr>
        <w:pStyle w:val="3"/>
        <w:rPr>
          <w:rFonts w:hint="default"/>
          <w:lang w:val="en-US" w:eastAsia="zh-CN"/>
        </w:rPr>
      </w:pPr>
    </w:p>
    <w:tbl>
      <w:tblPr>
        <w:tblStyle w:val="6"/>
        <w:tblW w:w="97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4"/>
      </w:tblGrid>
      <w:tr w14:paraId="0C5E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744" w:type="dxa"/>
            <w:tcBorders>
              <w:top w:val="nil"/>
              <w:left w:val="nil"/>
              <w:bottom w:val="nil"/>
              <w:right w:val="nil"/>
            </w:tcBorders>
            <w:shd w:val="clear" w:color="auto" w:fill="auto"/>
            <w:noWrap/>
            <w:vAlign w:val="center"/>
          </w:tcPr>
          <w:tbl>
            <w:tblPr>
              <w:tblStyle w:val="6"/>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2391"/>
              <w:gridCol w:w="2488"/>
              <w:gridCol w:w="1502"/>
              <w:gridCol w:w="1415"/>
              <w:gridCol w:w="819"/>
            </w:tblGrid>
            <w:tr w14:paraId="628D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380" w:type="dxa"/>
                  <w:gridSpan w:val="6"/>
                  <w:tcBorders>
                    <w:top w:val="nil"/>
                    <w:left w:val="nil"/>
                    <w:bottom w:val="nil"/>
                    <w:right w:val="nil"/>
                  </w:tcBorders>
                  <w:shd w:val="clear" w:color="auto" w:fill="auto"/>
                  <w:noWrap/>
                  <w:vAlign w:val="center"/>
                </w:tcPr>
                <w:p w14:paraId="37E51B7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消防检测服务区域及报价表</w:t>
                  </w:r>
                </w:p>
              </w:tc>
            </w:tr>
            <w:tr w14:paraId="28BD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30EAEFA">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4EDE1141">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楼宇名称</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top"/>
                </w:tcPr>
                <w:p w14:paraId="7EEF9499">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建筑面积（平方米）</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top"/>
                </w:tcPr>
                <w:p w14:paraId="5E8AD804">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单价（元/平方米/年）</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top"/>
                </w:tcPr>
                <w:p w14:paraId="441CEA86">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14:paraId="3BE01C7F">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4F0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625CA5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2504AFA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w:t>
                  </w:r>
                </w:p>
              </w:tc>
              <w:tc>
                <w:tcPr>
                  <w:tcW w:w="2488" w:type="dxa"/>
                  <w:vMerge w:val="restart"/>
                  <w:tcBorders>
                    <w:top w:val="single" w:color="000000" w:sz="4" w:space="0"/>
                    <w:left w:val="single" w:color="000000" w:sz="4" w:space="0"/>
                    <w:right w:val="single" w:color="000000" w:sz="4" w:space="0"/>
                  </w:tcBorders>
                  <w:shd w:val="clear" w:color="auto" w:fill="auto"/>
                  <w:vAlign w:val="top"/>
                </w:tcPr>
                <w:p w14:paraId="56D45D4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p w14:paraId="3D60B82F">
                  <w:pPr>
                    <w:pStyle w:val="2"/>
                    <w:rPr>
                      <w:rFonts w:hint="eastAsia" w:ascii="宋体" w:hAnsi="宋体" w:eastAsia="宋体" w:cs="宋体"/>
                      <w:i w:val="0"/>
                      <w:iCs w:val="0"/>
                      <w:color w:val="000000"/>
                      <w:sz w:val="24"/>
                      <w:szCs w:val="24"/>
                      <w:u w:val="none"/>
                    </w:rPr>
                  </w:pPr>
                </w:p>
                <w:p w14:paraId="3F7A6716">
                  <w:pPr>
                    <w:pStyle w:val="3"/>
                    <w:rPr>
                      <w:rFonts w:hint="eastAsia" w:ascii="宋体" w:hAnsi="宋体" w:eastAsia="宋体" w:cs="宋体"/>
                      <w:i w:val="0"/>
                      <w:iCs w:val="0"/>
                      <w:color w:val="000000"/>
                      <w:sz w:val="24"/>
                      <w:szCs w:val="24"/>
                      <w:u w:val="none"/>
                    </w:rPr>
                  </w:pPr>
                </w:p>
                <w:p w14:paraId="105075E1">
                  <w:pPr>
                    <w:pStyle w:val="3"/>
                    <w:rPr>
                      <w:rFonts w:hint="eastAsia" w:ascii="宋体" w:hAnsi="宋体" w:eastAsia="宋体" w:cs="宋体"/>
                      <w:i w:val="0"/>
                      <w:iCs w:val="0"/>
                      <w:color w:val="000000"/>
                      <w:sz w:val="24"/>
                      <w:szCs w:val="24"/>
                      <w:u w:val="none"/>
                    </w:rPr>
                  </w:pPr>
                </w:p>
                <w:p w14:paraId="503A523A">
                  <w:pPr>
                    <w:pStyle w:val="3"/>
                    <w:rPr>
                      <w:rFonts w:hint="eastAsia" w:ascii="宋体" w:hAnsi="宋体" w:eastAsia="宋体" w:cs="宋体"/>
                      <w:i w:val="0"/>
                      <w:iCs w:val="0"/>
                      <w:color w:val="000000"/>
                      <w:sz w:val="24"/>
                      <w:szCs w:val="24"/>
                      <w:u w:val="none"/>
                    </w:rPr>
                  </w:pPr>
                </w:p>
                <w:p w14:paraId="2BA6CE07">
                  <w:pPr>
                    <w:pStyle w:val="3"/>
                    <w:rPr>
                      <w:rFonts w:hint="eastAsia" w:ascii="宋体" w:hAnsi="宋体" w:eastAsia="宋体" w:cs="宋体"/>
                      <w:i w:val="0"/>
                      <w:iCs w:val="0"/>
                      <w:color w:val="000000"/>
                      <w:sz w:val="24"/>
                      <w:szCs w:val="24"/>
                      <w:u w:val="none"/>
                    </w:rPr>
                  </w:pPr>
                </w:p>
                <w:p w14:paraId="1D6E6567">
                  <w:pPr>
                    <w:pStyle w:val="3"/>
                    <w:rPr>
                      <w:rFonts w:hint="eastAsia" w:ascii="宋体" w:hAnsi="宋体" w:eastAsia="宋体" w:cs="宋体"/>
                      <w:i w:val="0"/>
                      <w:iCs w:val="0"/>
                      <w:color w:val="000000"/>
                      <w:sz w:val="24"/>
                      <w:szCs w:val="24"/>
                      <w:u w:val="none"/>
                    </w:rPr>
                  </w:pPr>
                </w:p>
                <w:p w14:paraId="4D5A30FB">
                  <w:pPr>
                    <w:pStyle w:val="3"/>
                    <w:ind w:firstLine="720" w:firstLineChars="300"/>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282698.99</w:t>
                  </w:r>
                </w:p>
              </w:tc>
              <w:tc>
                <w:tcPr>
                  <w:tcW w:w="1502" w:type="dxa"/>
                  <w:vMerge w:val="restart"/>
                  <w:tcBorders>
                    <w:top w:val="single" w:color="000000" w:sz="4" w:space="0"/>
                    <w:left w:val="single" w:color="000000" w:sz="4" w:space="0"/>
                    <w:right w:val="single" w:color="000000" w:sz="4" w:space="0"/>
                  </w:tcBorders>
                  <w:shd w:val="clear" w:color="auto" w:fill="auto"/>
                  <w:vAlign w:val="top"/>
                </w:tcPr>
                <w:p w14:paraId="0DB0B6BD">
                  <w:pPr>
                    <w:jc w:val="center"/>
                    <w:rPr>
                      <w:rFonts w:hint="eastAsia" w:ascii="宋体" w:hAnsi="宋体" w:eastAsia="宋体" w:cs="宋体"/>
                      <w:i w:val="0"/>
                      <w:iCs w:val="0"/>
                      <w:color w:val="000000"/>
                      <w:sz w:val="24"/>
                      <w:szCs w:val="24"/>
                      <w:u w:val="none"/>
                    </w:rPr>
                  </w:pPr>
                </w:p>
              </w:tc>
              <w:tc>
                <w:tcPr>
                  <w:tcW w:w="1415" w:type="dxa"/>
                  <w:vMerge w:val="restart"/>
                  <w:tcBorders>
                    <w:top w:val="single" w:color="000000" w:sz="4" w:space="0"/>
                    <w:left w:val="single" w:color="000000" w:sz="4" w:space="0"/>
                    <w:right w:val="single" w:color="000000" w:sz="4" w:space="0"/>
                  </w:tcBorders>
                  <w:shd w:val="clear" w:color="auto" w:fill="auto"/>
                  <w:vAlign w:val="top"/>
                </w:tcPr>
                <w:p w14:paraId="66EFDEEE">
                  <w:pPr>
                    <w:jc w:val="center"/>
                    <w:rPr>
                      <w:rFonts w:hint="eastAsia" w:ascii="宋体" w:hAnsi="宋体" w:eastAsia="宋体" w:cs="宋体"/>
                      <w:i w:val="0"/>
                      <w:iCs w:val="0"/>
                      <w:color w:val="000000"/>
                      <w:sz w:val="24"/>
                      <w:szCs w:val="24"/>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43B6082">
                  <w:pPr>
                    <w:keepNext w:val="0"/>
                    <w:keepLines w:val="0"/>
                    <w:widowControl/>
                    <w:suppressLineNumbers w:val="0"/>
                    <w:jc w:val="center"/>
                    <w:textAlignment w:val="top"/>
                    <w:rPr>
                      <w:rFonts w:hint="eastAsia" w:ascii="宋体" w:hAnsi="宋体" w:eastAsia="宋体" w:cs="宋体"/>
                      <w:i w:val="0"/>
                      <w:iCs w:val="0"/>
                      <w:color w:val="222222"/>
                      <w:sz w:val="24"/>
                      <w:szCs w:val="24"/>
                      <w:u w:val="none"/>
                    </w:rPr>
                  </w:pPr>
                  <w:r>
                    <w:rPr>
                      <w:rFonts w:hint="eastAsia" w:ascii="宋体" w:hAnsi="宋体" w:eastAsia="宋体" w:cs="宋体"/>
                      <w:i w:val="0"/>
                      <w:iCs w:val="0"/>
                      <w:color w:val="222222"/>
                      <w:kern w:val="0"/>
                      <w:sz w:val="24"/>
                      <w:szCs w:val="24"/>
                      <w:u w:val="none"/>
                      <w:lang w:val="en-US" w:eastAsia="zh-CN" w:bidi="ar"/>
                    </w:rPr>
                    <w:t xml:space="preserve">               消防检测按照年度进行，具体以实际检测面积为准，需出具检测报告。</w:t>
                  </w:r>
                </w:p>
              </w:tc>
            </w:tr>
            <w:tr w14:paraId="56DF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03DAE4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0866500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实验1#楼</w:t>
                  </w:r>
                </w:p>
              </w:tc>
              <w:tc>
                <w:tcPr>
                  <w:tcW w:w="2488" w:type="dxa"/>
                  <w:vMerge w:val="continue"/>
                  <w:tcBorders>
                    <w:left w:val="single" w:color="000000" w:sz="4" w:space="0"/>
                    <w:right w:val="single" w:color="000000" w:sz="4" w:space="0"/>
                  </w:tcBorders>
                  <w:shd w:val="clear" w:color="auto" w:fill="auto"/>
                  <w:vAlign w:val="top"/>
                </w:tcPr>
                <w:p w14:paraId="00C24E2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top"/>
                </w:tcPr>
                <w:p w14:paraId="22D2ABE4">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top"/>
                </w:tcPr>
                <w:p w14:paraId="40A44497">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E2E240">
                  <w:pPr>
                    <w:jc w:val="center"/>
                    <w:rPr>
                      <w:rFonts w:hint="eastAsia" w:ascii="宋体" w:hAnsi="宋体" w:eastAsia="宋体" w:cs="宋体"/>
                      <w:i w:val="0"/>
                      <w:iCs w:val="0"/>
                      <w:color w:val="222222"/>
                      <w:sz w:val="24"/>
                      <w:szCs w:val="24"/>
                      <w:u w:val="none"/>
                    </w:rPr>
                  </w:pPr>
                </w:p>
              </w:tc>
            </w:tr>
            <w:tr w14:paraId="5C8E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0450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D3E1CE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实验2#楼</w:t>
                  </w:r>
                </w:p>
              </w:tc>
              <w:tc>
                <w:tcPr>
                  <w:tcW w:w="2488" w:type="dxa"/>
                  <w:vMerge w:val="continue"/>
                  <w:tcBorders>
                    <w:left w:val="single" w:color="000000" w:sz="4" w:space="0"/>
                    <w:right w:val="single" w:color="000000" w:sz="4" w:space="0"/>
                  </w:tcBorders>
                  <w:shd w:val="clear" w:color="auto" w:fill="auto"/>
                  <w:vAlign w:val="top"/>
                </w:tcPr>
                <w:p w14:paraId="192156B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top"/>
                </w:tcPr>
                <w:p w14:paraId="59D5DD8D">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top"/>
                </w:tcPr>
                <w:p w14:paraId="1303CC2D">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E8CC61">
                  <w:pPr>
                    <w:jc w:val="center"/>
                    <w:rPr>
                      <w:rFonts w:hint="eastAsia" w:ascii="宋体" w:hAnsi="宋体" w:eastAsia="宋体" w:cs="宋体"/>
                      <w:i w:val="0"/>
                      <w:iCs w:val="0"/>
                      <w:color w:val="222222"/>
                      <w:sz w:val="24"/>
                      <w:szCs w:val="24"/>
                      <w:u w:val="none"/>
                    </w:rPr>
                  </w:pPr>
                </w:p>
              </w:tc>
            </w:tr>
            <w:tr w14:paraId="4EA4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2742BA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FEA0C8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公寓1#楼</w:t>
                  </w:r>
                </w:p>
              </w:tc>
              <w:tc>
                <w:tcPr>
                  <w:tcW w:w="2488" w:type="dxa"/>
                  <w:vMerge w:val="continue"/>
                  <w:tcBorders>
                    <w:left w:val="single" w:color="000000" w:sz="4" w:space="0"/>
                    <w:right w:val="single" w:color="000000" w:sz="4" w:space="0"/>
                  </w:tcBorders>
                  <w:shd w:val="clear" w:color="auto" w:fill="auto"/>
                  <w:vAlign w:val="center"/>
                </w:tcPr>
                <w:p w14:paraId="7BB98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3F4D5E46">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center"/>
                </w:tcPr>
                <w:p w14:paraId="1DA2A759">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ABC04C">
                  <w:pPr>
                    <w:jc w:val="center"/>
                    <w:rPr>
                      <w:rFonts w:hint="eastAsia" w:ascii="宋体" w:hAnsi="宋体" w:eastAsia="宋体" w:cs="宋体"/>
                      <w:i w:val="0"/>
                      <w:iCs w:val="0"/>
                      <w:color w:val="222222"/>
                      <w:sz w:val="24"/>
                      <w:szCs w:val="24"/>
                      <w:u w:val="none"/>
                    </w:rPr>
                  </w:pPr>
                </w:p>
              </w:tc>
            </w:tr>
            <w:tr w14:paraId="3F11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D3A532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6C74F4D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公寓2#楼</w:t>
                  </w:r>
                </w:p>
              </w:tc>
              <w:tc>
                <w:tcPr>
                  <w:tcW w:w="2488" w:type="dxa"/>
                  <w:vMerge w:val="continue"/>
                  <w:tcBorders>
                    <w:left w:val="single" w:color="000000" w:sz="4" w:space="0"/>
                    <w:right w:val="single" w:color="000000" w:sz="4" w:space="0"/>
                  </w:tcBorders>
                  <w:shd w:val="clear" w:color="auto" w:fill="auto"/>
                  <w:vAlign w:val="center"/>
                </w:tcPr>
                <w:p w14:paraId="7994567D">
                  <w:pPr>
                    <w:jc w:val="center"/>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133DED2A">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center"/>
                </w:tcPr>
                <w:p w14:paraId="4CFB8228">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907C99">
                  <w:pPr>
                    <w:jc w:val="center"/>
                    <w:rPr>
                      <w:rFonts w:hint="eastAsia" w:ascii="宋体" w:hAnsi="宋体" w:eastAsia="宋体" w:cs="宋体"/>
                      <w:i w:val="0"/>
                      <w:iCs w:val="0"/>
                      <w:color w:val="222222"/>
                      <w:sz w:val="24"/>
                      <w:szCs w:val="24"/>
                      <w:u w:val="none"/>
                    </w:rPr>
                  </w:pPr>
                </w:p>
              </w:tc>
            </w:tr>
            <w:tr w14:paraId="5E0D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422705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4153DBA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公寓3#楼</w:t>
                  </w:r>
                </w:p>
              </w:tc>
              <w:tc>
                <w:tcPr>
                  <w:tcW w:w="2488" w:type="dxa"/>
                  <w:vMerge w:val="continue"/>
                  <w:tcBorders>
                    <w:left w:val="single" w:color="000000" w:sz="4" w:space="0"/>
                    <w:right w:val="single" w:color="000000" w:sz="4" w:space="0"/>
                  </w:tcBorders>
                  <w:shd w:val="clear" w:color="auto" w:fill="auto"/>
                  <w:vAlign w:val="center"/>
                </w:tcPr>
                <w:p w14:paraId="4BBBC7D0">
                  <w:pPr>
                    <w:jc w:val="center"/>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12E927AD">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center"/>
                </w:tcPr>
                <w:p w14:paraId="1939EAC5">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1369D1">
                  <w:pPr>
                    <w:jc w:val="center"/>
                    <w:rPr>
                      <w:rFonts w:hint="eastAsia" w:ascii="宋体" w:hAnsi="宋体" w:eastAsia="宋体" w:cs="宋体"/>
                      <w:i w:val="0"/>
                      <w:iCs w:val="0"/>
                      <w:color w:val="222222"/>
                      <w:sz w:val="24"/>
                      <w:szCs w:val="24"/>
                      <w:u w:val="none"/>
                    </w:rPr>
                  </w:pPr>
                </w:p>
              </w:tc>
            </w:tr>
            <w:tr w14:paraId="44F7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C9E29E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DE9FE3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经营用房和活动中心</w:t>
                  </w:r>
                </w:p>
              </w:tc>
              <w:tc>
                <w:tcPr>
                  <w:tcW w:w="2488" w:type="dxa"/>
                  <w:vMerge w:val="continue"/>
                  <w:tcBorders>
                    <w:left w:val="single" w:color="000000" w:sz="4" w:space="0"/>
                    <w:right w:val="single" w:color="000000" w:sz="4" w:space="0"/>
                  </w:tcBorders>
                  <w:shd w:val="clear" w:color="auto" w:fill="auto"/>
                  <w:vAlign w:val="center"/>
                </w:tcPr>
                <w:p w14:paraId="33857C06">
                  <w:pPr>
                    <w:jc w:val="center"/>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14E8A2B8">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center"/>
                </w:tcPr>
                <w:p w14:paraId="2AB8243C">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7A4E41">
                  <w:pPr>
                    <w:jc w:val="center"/>
                    <w:rPr>
                      <w:rFonts w:hint="eastAsia" w:ascii="宋体" w:hAnsi="宋体" w:eastAsia="宋体" w:cs="宋体"/>
                      <w:i w:val="0"/>
                      <w:iCs w:val="0"/>
                      <w:color w:val="222222"/>
                      <w:sz w:val="24"/>
                      <w:szCs w:val="24"/>
                      <w:u w:val="none"/>
                    </w:rPr>
                  </w:pPr>
                </w:p>
              </w:tc>
            </w:tr>
            <w:tr w14:paraId="4F72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F6EE83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058E4ED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公寓4#楼</w:t>
                  </w:r>
                </w:p>
              </w:tc>
              <w:tc>
                <w:tcPr>
                  <w:tcW w:w="2488" w:type="dxa"/>
                  <w:vMerge w:val="continue"/>
                  <w:tcBorders>
                    <w:left w:val="single" w:color="000000" w:sz="4" w:space="0"/>
                    <w:right w:val="single" w:color="000000" w:sz="4" w:space="0"/>
                  </w:tcBorders>
                  <w:shd w:val="clear" w:color="auto" w:fill="auto"/>
                  <w:vAlign w:val="top"/>
                </w:tcPr>
                <w:p w14:paraId="43658CB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top"/>
                </w:tcPr>
                <w:p w14:paraId="48A865E6">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top"/>
                </w:tcPr>
                <w:p w14:paraId="4C1941BD">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004886">
                  <w:pPr>
                    <w:jc w:val="center"/>
                    <w:rPr>
                      <w:rFonts w:hint="eastAsia" w:ascii="宋体" w:hAnsi="宋体" w:eastAsia="宋体" w:cs="宋体"/>
                      <w:i w:val="0"/>
                      <w:iCs w:val="0"/>
                      <w:color w:val="222222"/>
                      <w:sz w:val="24"/>
                      <w:szCs w:val="24"/>
                      <w:u w:val="none"/>
                    </w:rPr>
                  </w:pPr>
                </w:p>
              </w:tc>
            </w:tr>
            <w:tr w14:paraId="1D81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134D64F">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942402C">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公寓6#楼</w:t>
                  </w:r>
                </w:p>
              </w:tc>
              <w:tc>
                <w:tcPr>
                  <w:tcW w:w="2488" w:type="dxa"/>
                  <w:vMerge w:val="continue"/>
                  <w:tcBorders>
                    <w:left w:val="single" w:color="000000" w:sz="4" w:space="0"/>
                    <w:right w:val="single" w:color="000000" w:sz="4" w:space="0"/>
                  </w:tcBorders>
                  <w:shd w:val="clear" w:color="auto" w:fill="auto"/>
                  <w:vAlign w:val="top"/>
                </w:tcPr>
                <w:p w14:paraId="3C34B7A7">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1502" w:type="dxa"/>
                  <w:vMerge w:val="continue"/>
                  <w:tcBorders>
                    <w:left w:val="single" w:color="000000" w:sz="4" w:space="0"/>
                    <w:right w:val="single" w:color="000000" w:sz="4" w:space="0"/>
                  </w:tcBorders>
                  <w:shd w:val="clear" w:color="auto" w:fill="auto"/>
                  <w:vAlign w:val="top"/>
                </w:tcPr>
                <w:p w14:paraId="324AEAF8">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top"/>
                </w:tcPr>
                <w:p w14:paraId="5C66A55A">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02CDF5">
                  <w:pPr>
                    <w:jc w:val="center"/>
                    <w:rPr>
                      <w:rFonts w:hint="eastAsia" w:ascii="宋体" w:hAnsi="宋体" w:eastAsia="宋体" w:cs="宋体"/>
                      <w:i w:val="0"/>
                      <w:iCs w:val="0"/>
                      <w:color w:val="222222"/>
                      <w:sz w:val="24"/>
                      <w:szCs w:val="24"/>
                      <w:u w:val="none"/>
                    </w:rPr>
                  </w:pPr>
                </w:p>
              </w:tc>
            </w:tr>
            <w:tr w14:paraId="180D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11262323">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1D10BE8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公寓8#楼</w:t>
                  </w:r>
                </w:p>
              </w:tc>
              <w:tc>
                <w:tcPr>
                  <w:tcW w:w="2488" w:type="dxa"/>
                  <w:vMerge w:val="continue"/>
                  <w:tcBorders>
                    <w:left w:val="single" w:color="000000" w:sz="4" w:space="0"/>
                    <w:right w:val="single" w:color="000000" w:sz="4" w:space="0"/>
                  </w:tcBorders>
                  <w:shd w:val="clear" w:color="auto" w:fill="auto"/>
                  <w:vAlign w:val="top"/>
                </w:tcPr>
                <w:p w14:paraId="4A62334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top"/>
                </w:tcPr>
                <w:p w14:paraId="7B598F0F">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top"/>
                </w:tcPr>
                <w:p w14:paraId="031E7F7D">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DDED4E">
                  <w:pPr>
                    <w:jc w:val="center"/>
                    <w:rPr>
                      <w:rFonts w:hint="eastAsia" w:ascii="宋体" w:hAnsi="宋体" w:eastAsia="宋体" w:cs="宋体"/>
                      <w:i w:val="0"/>
                      <w:iCs w:val="0"/>
                      <w:color w:val="222222"/>
                      <w:sz w:val="24"/>
                      <w:szCs w:val="24"/>
                      <w:u w:val="none"/>
                    </w:rPr>
                  </w:pPr>
                </w:p>
              </w:tc>
            </w:tr>
            <w:tr w14:paraId="50D5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C69880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45C914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公寓10#楼</w:t>
                  </w:r>
                </w:p>
              </w:tc>
              <w:tc>
                <w:tcPr>
                  <w:tcW w:w="2488" w:type="dxa"/>
                  <w:vMerge w:val="continue"/>
                  <w:tcBorders>
                    <w:left w:val="single" w:color="000000" w:sz="4" w:space="0"/>
                    <w:right w:val="single" w:color="000000" w:sz="4" w:space="0"/>
                  </w:tcBorders>
                  <w:shd w:val="clear" w:color="auto" w:fill="auto"/>
                  <w:vAlign w:val="top"/>
                </w:tcPr>
                <w:p w14:paraId="0EAFD4E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top"/>
                </w:tcPr>
                <w:p w14:paraId="0DAF14C0">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top"/>
                </w:tcPr>
                <w:p w14:paraId="685D82C1">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6D15E7">
                  <w:pPr>
                    <w:jc w:val="center"/>
                    <w:rPr>
                      <w:rFonts w:hint="eastAsia" w:ascii="宋体" w:hAnsi="宋体" w:eastAsia="宋体" w:cs="宋体"/>
                      <w:i w:val="0"/>
                      <w:iCs w:val="0"/>
                      <w:color w:val="222222"/>
                      <w:sz w:val="24"/>
                      <w:szCs w:val="24"/>
                      <w:u w:val="none"/>
                    </w:rPr>
                  </w:pPr>
                </w:p>
              </w:tc>
            </w:tr>
            <w:tr w14:paraId="0BB7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6D39F804">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2F3151C4">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公寓11#楼</w:t>
                  </w:r>
                </w:p>
              </w:tc>
              <w:tc>
                <w:tcPr>
                  <w:tcW w:w="2488" w:type="dxa"/>
                  <w:vMerge w:val="continue"/>
                  <w:tcBorders>
                    <w:left w:val="single" w:color="000000" w:sz="4" w:space="0"/>
                    <w:right w:val="single" w:color="000000" w:sz="4" w:space="0"/>
                  </w:tcBorders>
                  <w:shd w:val="clear" w:color="auto" w:fill="auto"/>
                  <w:vAlign w:val="top"/>
                </w:tcPr>
                <w:p w14:paraId="7C7CC104">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1502" w:type="dxa"/>
                  <w:vMerge w:val="continue"/>
                  <w:tcBorders>
                    <w:left w:val="single" w:color="000000" w:sz="4" w:space="0"/>
                    <w:right w:val="single" w:color="000000" w:sz="4" w:space="0"/>
                  </w:tcBorders>
                  <w:shd w:val="clear" w:color="auto" w:fill="auto"/>
                  <w:vAlign w:val="top"/>
                </w:tcPr>
                <w:p w14:paraId="206AE48E">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top"/>
                </w:tcPr>
                <w:p w14:paraId="1129EA42">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269CAA">
                  <w:pPr>
                    <w:jc w:val="center"/>
                    <w:rPr>
                      <w:rFonts w:hint="eastAsia" w:ascii="宋体" w:hAnsi="宋体" w:eastAsia="宋体" w:cs="宋体"/>
                      <w:i w:val="0"/>
                      <w:iCs w:val="0"/>
                      <w:color w:val="222222"/>
                      <w:sz w:val="24"/>
                      <w:szCs w:val="24"/>
                      <w:u w:val="none"/>
                    </w:rPr>
                  </w:pPr>
                </w:p>
              </w:tc>
            </w:tr>
            <w:tr w14:paraId="66DC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AB00B0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3C2C1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w:t>
                  </w:r>
                </w:p>
              </w:tc>
              <w:tc>
                <w:tcPr>
                  <w:tcW w:w="2488" w:type="dxa"/>
                  <w:vMerge w:val="continue"/>
                  <w:tcBorders>
                    <w:left w:val="single" w:color="000000" w:sz="4" w:space="0"/>
                    <w:right w:val="single" w:color="000000" w:sz="4" w:space="0"/>
                  </w:tcBorders>
                  <w:shd w:val="clear" w:color="auto" w:fill="auto"/>
                  <w:vAlign w:val="top"/>
                </w:tcPr>
                <w:p w14:paraId="0686052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top"/>
                </w:tcPr>
                <w:p w14:paraId="6AA11786">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top"/>
                </w:tcPr>
                <w:p w14:paraId="4BDC1ECB">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2C4E21">
                  <w:pPr>
                    <w:jc w:val="center"/>
                    <w:rPr>
                      <w:rFonts w:hint="eastAsia" w:ascii="宋体" w:hAnsi="宋体" w:eastAsia="宋体" w:cs="宋体"/>
                      <w:i w:val="0"/>
                      <w:iCs w:val="0"/>
                      <w:color w:val="222222"/>
                      <w:sz w:val="24"/>
                      <w:szCs w:val="24"/>
                      <w:u w:val="none"/>
                    </w:rPr>
                  </w:pPr>
                </w:p>
              </w:tc>
            </w:tr>
            <w:tr w14:paraId="73D1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A53A39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FFD257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1#生活服务中心</w:t>
                  </w:r>
                </w:p>
              </w:tc>
              <w:tc>
                <w:tcPr>
                  <w:tcW w:w="2488" w:type="dxa"/>
                  <w:vMerge w:val="continue"/>
                  <w:tcBorders>
                    <w:left w:val="single" w:color="000000" w:sz="4" w:space="0"/>
                    <w:right w:val="single" w:color="000000" w:sz="4" w:space="0"/>
                  </w:tcBorders>
                  <w:shd w:val="clear" w:color="auto" w:fill="auto"/>
                  <w:vAlign w:val="top"/>
                </w:tcPr>
                <w:p w14:paraId="2F83E0F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502" w:type="dxa"/>
                  <w:vMerge w:val="continue"/>
                  <w:tcBorders>
                    <w:left w:val="single" w:color="000000" w:sz="4" w:space="0"/>
                    <w:right w:val="single" w:color="000000" w:sz="4" w:space="0"/>
                  </w:tcBorders>
                  <w:shd w:val="clear" w:color="auto" w:fill="auto"/>
                  <w:vAlign w:val="top"/>
                </w:tcPr>
                <w:p w14:paraId="52D4DCA0">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right w:val="single" w:color="000000" w:sz="4" w:space="0"/>
                  </w:tcBorders>
                  <w:shd w:val="clear" w:color="auto" w:fill="auto"/>
                  <w:vAlign w:val="top"/>
                </w:tcPr>
                <w:p w14:paraId="2FADF4E5">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6FAF48">
                  <w:pPr>
                    <w:jc w:val="center"/>
                    <w:rPr>
                      <w:rFonts w:hint="eastAsia" w:ascii="宋体" w:hAnsi="宋体" w:eastAsia="宋体" w:cs="宋体"/>
                      <w:i w:val="0"/>
                      <w:iCs w:val="0"/>
                      <w:color w:val="222222"/>
                      <w:sz w:val="24"/>
                      <w:szCs w:val="24"/>
                      <w:u w:val="none"/>
                    </w:rPr>
                  </w:pPr>
                </w:p>
              </w:tc>
            </w:tr>
            <w:tr w14:paraId="2BF7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8CE135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7C495A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2#生活服务中心</w:t>
                  </w:r>
                </w:p>
              </w:tc>
              <w:tc>
                <w:tcPr>
                  <w:tcW w:w="2488" w:type="dxa"/>
                  <w:vMerge w:val="continue"/>
                  <w:tcBorders>
                    <w:left w:val="single" w:color="000000" w:sz="4" w:space="0"/>
                    <w:bottom w:val="single" w:color="000000" w:sz="4" w:space="0"/>
                    <w:right w:val="single" w:color="000000" w:sz="4" w:space="0"/>
                  </w:tcBorders>
                  <w:shd w:val="clear" w:color="auto" w:fill="auto"/>
                  <w:vAlign w:val="top"/>
                </w:tcPr>
                <w:p w14:paraId="27B17F9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1502" w:type="dxa"/>
                  <w:vMerge w:val="continue"/>
                  <w:tcBorders>
                    <w:left w:val="single" w:color="000000" w:sz="4" w:space="0"/>
                    <w:bottom w:val="single" w:color="000000" w:sz="4" w:space="0"/>
                    <w:right w:val="single" w:color="000000" w:sz="4" w:space="0"/>
                  </w:tcBorders>
                  <w:shd w:val="clear" w:color="auto" w:fill="auto"/>
                  <w:vAlign w:val="top"/>
                </w:tcPr>
                <w:p w14:paraId="46620E13">
                  <w:pPr>
                    <w:jc w:val="center"/>
                    <w:rPr>
                      <w:rFonts w:hint="eastAsia" w:ascii="宋体" w:hAnsi="宋体" w:eastAsia="宋体" w:cs="宋体"/>
                      <w:i w:val="0"/>
                      <w:iCs w:val="0"/>
                      <w:color w:val="000000"/>
                      <w:sz w:val="24"/>
                      <w:szCs w:val="24"/>
                      <w:u w:val="none"/>
                    </w:rPr>
                  </w:pPr>
                </w:p>
              </w:tc>
              <w:tc>
                <w:tcPr>
                  <w:tcW w:w="1415" w:type="dxa"/>
                  <w:vMerge w:val="continue"/>
                  <w:tcBorders>
                    <w:left w:val="single" w:color="000000" w:sz="4" w:space="0"/>
                    <w:bottom w:val="single" w:color="000000" w:sz="4" w:space="0"/>
                    <w:right w:val="single" w:color="000000" w:sz="4" w:space="0"/>
                  </w:tcBorders>
                  <w:shd w:val="clear" w:color="auto" w:fill="auto"/>
                  <w:vAlign w:val="top"/>
                </w:tcPr>
                <w:p w14:paraId="60A9D463">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B612B6">
                  <w:pPr>
                    <w:jc w:val="center"/>
                    <w:rPr>
                      <w:rFonts w:hint="eastAsia" w:ascii="宋体" w:hAnsi="宋体" w:eastAsia="宋体" w:cs="宋体"/>
                      <w:i w:val="0"/>
                      <w:iCs w:val="0"/>
                      <w:color w:val="222222"/>
                      <w:sz w:val="24"/>
                      <w:szCs w:val="24"/>
                      <w:u w:val="none"/>
                    </w:rPr>
                  </w:pPr>
                </w:p>
              </w:tc>
            </w:tr>
            <w:tr w14:paraId="2374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315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324BE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7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282698.99</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6F90">
                  <w:pPr>
                    <w:jc w:val="center"/>
                    <w:rPr>
                      <w:rFonts w:hint="eastAsia" w:ascii="宋体" w:hAnsi="宋体" w:eastAsia="宋体" w:cs="宋体"/>
                      <w:i w:val="0"/>
                      <w:iCs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7A32">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0993A1">
                  <w:pPr>
                    <w:jc w:val="center"/>
                    <w:rPr>
                      <w:rFonts w:hint="eastAsia" w:ascii="宋体" w:hAnsi="宋体" w:eastAsia="宋体" w:cs="宋体"/>
                      <w:i w:val="0"/>
                      <w:iCs w:val="0"/>
                      <w:color w:val="222222"/>
                      <w:sz w:val="24"/>
                      <w:szCs w:val="24"/>
                      <w:u w:val="none"/>
                    </w:rPr>
                  </w:pPr>
                </w:p>
              </w:tc>
            </w:tr>
          </w:tbl>
          <w:p w14:paraId="71AD2CD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14:paraId="4CEA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744" w:type="dxa"/>
            <w:tcBorders>
              <w:top w:val="nil"/>
              <w:left w:val="nil"/>
              <w:bottom w:val="nil"/>
              <w:right w:val="nil"/>
            </w:tcBorders>
            <w:shd w:val="clear" w:color="auto" w:fill="auto"/>
            <w:noWrap/>
            <w:vAlign w:val="center"/>
          </w:tcPr>
          <w:p w14:paraId="1934BF29">
            <w:pPr>
              <w:pStyle w:val="2"/>
              <w:rPr>
                <w:rFonts w:hint="eastAsia"/>
              </w:rPr>
            </w:pPr>
          </w:p>
        </w:tc>
      </w:tr>
    </w:tbl>
    <w:p w14:paraId="232A71A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附件</w:t>
      </w:r>
      <w:r>
        <w:rPr>
          <w:rFonts w:hint="eastAsia" w:ascii="宋体" w:hAnsi="宋体" w:cs="宋体"/>
          <w:b/>
          <w:bCs/>
          <w:sz w:val="24"/>
          <w:szCs w:val="24"/>
          <w:shd w:val="clear" w:color="auto" w:fill="FFFFFF"/>
          <w:lang w:val="en-US" w:eastAsia="zh-CN"/>
        </w:rPr>
        <w:t>2</w:t>
      </w:r>
    </w:p>
    <w:p w14:paraId="78F341E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消防设施维护、维修、保养范围</w:t>
      </w:r>
    </w:p>
    <w:p w14:paraId="4F0A10CC">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火灾自动报警系统； </w:t>
      </w:r>
    </w:p>
    <w:p w14:paraId="58CE6BAE">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自动喷水灭火系统； </w:t>
      </w:r>
    </w:p>
    <w:p w14:paraId="1C845D5A">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消火栓系统；</w:t>
      </w:r>
    </w:p>
    <w:p w14:paraId="74B7D3D8">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防排烟系统；</w:t>
      </w:r>
    </w:p>
    <w:p w14:paraId="52C04367">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气体灭火系统；</w:t>
      </w:r>
    </w:p>
    <w:p w14:paraId="635CB9D0">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智能应急照明、疏散指示标志；</w:t>
      </w:r>
    </w:p>
    <w:p w14:paraId="100AA6E9">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防火卷帘、防火门、</w:t>
      </w:r>
      <w:r>
        <w:rPr>
          <w:rFonts w:hint="eastAsia" w:ascii="宋体" w:hAnsi="宋体" w:eastAsia="宋体" w:cs="宋体"/>
          <w:sz w:val="24"/>
          <w:szCs w:val="24"/>
        </w:rPr>
        <w:t>防火分隔系统</w:t>
      </w:r>
      <w:r>
        <w:rPr>
          <w:rFonts w:hint="eastAsia" w:ascii="宋体" w:hAnsi="宋体" w:eastAsia="宋体" w:cs="宋体"/>
          <w:kern w:val="0"/>
          <w:sz w:val="24"/>
          <w:szCs w:val="24"/>
        </w:rPr>
        <w:t>及其消控系统；</w:t>
      </w:r>
    </w:p>
    <w:p w14:paraId="4B4A35E6">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w:t>
      </w:r>
      <w:r>
        <w:rPr>
          <w:rFonts w:hint="eastAsia" w:ascii="宋体" w:hAnsi="宋体" w:eastAsia="宋体" w:cs="宋体"/>
          <w:sz w:val="24"/>
          <w:szCs w:val="24"/>
        </w:rPr>
        <w:t>消防通讯及广播系统、</w:t>
      </w:r>
      <w:r>
        <w:rPr>
          <w:rFonts w:hint="eastAsia" w:ascii="宋体" w:hAnsi="宋体" w:eastAsia="宋体" w:cs="宋体"/>
          <w:kern w:val="0"/>
          <w:sz w:val="24"/>
          <w:szCs w:val="24"/>
        </w:rPr>
        <w:t>消防电源监控系统；</w:t>
      </w:r>
    </w:p>
    <w:p w14:paraId="4CEC0F28">
      <w:pPr>
        <w:spacing w:line="600" w:lineRule="auto"/>
        <w:ind w:firstLine="604" w:firstLineChars="252"/>
        <w:rPr>
          <w:rFonts w:hint="eastAsia" w:ascii="宋体" w:hAnsi="宋体" w:eastAsia="宋体" w:cs="宋体"/>
          <w:sz w:val="24"/>
          <w:szCs w:val="24"/>
        </w:rPr>
      </w:pP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w:t>
      </w:r>
      <w:r>
        <w:rPr>
          <w:rFonts w:hint="eastAsia" w:ascii="宋体" w:hAnsi="宋体" w:eastAsia="宋体" w:cs="宋体"/>
          <w:sz w:val="24"/>
          <w:szCs w:val="24"/>
        </w:rPr>
        <w:t>新建楼宇火灾报警器反馈信号传输；</w:t>
      </w:r>
    </w:p>
    <w:p w14:paraId="323EBBBF">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消防设施器材设备材料维修更换；</w:t>
      </w:r>
    </w:p>
    <w:p w14:paraId="2FB82C98">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11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其他一切消防设备设施。</w:t>
      </w:r>
    </w:p>
    <w:p w14:paraId="45EDBF2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39E1085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2497436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738F23F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0B155B1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4CBBBB4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69EC864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352CD17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1D51E28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2AFE1C2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1E56BDD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02F0529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50B6DF8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cs="宋体"/>
          <w:b/>
          <w:bCs/>
          <w:kern w:val="0"/>
          <w:sz w:val="24"/>
          <w:szCs w:val="24"/>
          <w:lang w:val="en-US" w:eastAsia="zh-CN"/>
        </w:rPr>
      </w:pPr>
    </w:p>
    <w:p w14:paraId="003615F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附件3</w:t>
      </w:r>
    </w:p>
    <w:p w14:paraId="78BDCCA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消防设备维保项目</w:t>
      </w:r>
    </w:p>
    <w:p w14:paraId="7188946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火灾自动报警系统设备（烟感、温感探测器、消火栓报警按钮、手动报警按钮、楼层显示器、消防广播、控制模块、中继器、消防端子箱、控制主机、火灾报警控制器、通讯控制柜、警铃、事故广播、备用电源等涉及消防系统的所有设施设备），消防电源监控系统。</w:t>
      </w:r>
    </w:p>
    <w:p w14:paraId="71FD18A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水灭火系统设备（消防泵、喷淋泵、增压泵、喷淋头、室内外消火栓、各种类阀门、水泵接合器、消防水池、浮球阀、屋顶水箱、水灭火系统控制柜、水流指示器、压力开关、水泵、管网、水力警铃等设施设备）。</w:t>
      </w:r>
    </w:p>
    <w:p w14:paraId="5D35D18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防排烟系统设备（正压风机、新风机、排烟风机、正压送风阀、排风阀、电控箱等设施设备）</w:t>
      </w:r>
      <w:r>
        <w:rPr>
          <w:rFonts w:hint="eastAsia" w:ascii="宋体" w:hAnsi="宋体" w:eastAsia="宋体" w:cs="宋体"/>
          <w:kern w:val="0"/>
          <w:sz w:val="24"/>
          <w:szCs w:val="24"/>
          <w:lang w:eastAsia="zh-CN"/>
        </w:rPr>
        <w:t>。</w:t>
      </w:r>
    </w:p>
    <w:p w14:paraId="27F5DDF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安全疏散系统设备（应急照明灯、安全出口标志灯等）。</w:t>
      </w:r>
    </w:p>
    <w:p w14:paraId="3F8FD05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消防监控室、防火卷帘门、防火门及监控系统其他一切消防设施（包含气体灭火系统和建筑物楼内的其他消防设备）。</w:t>
      </w:r>
    </w:p>
    <w:p w14:paraId="60F8EB3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消防安全隐患排查、评估、整改方案、整改实施。</w:t>
      </w:r>
    </w:p>
    <w:p w14:paraId="4ECE02F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对接相关安全管理部门，及时了解相关消防安全政策、法规、要求，对照落实执行，使本维保项目始终处于高效安全且符合相关安全管理部门要求的运行状态。</w:t>
      </w:r>
    </w:p>
    <w:p w14:paraId="405CBA2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乙方在本合同签署后的一个月内，首先对合同约定区域消防系统现有故障进行排查和维修，排除故障，使系统达到完好有效的状态，并出具排查报告。</w:t>
      </w:r>
    </w:p>
    <w:p w14:paraId="3E01E4A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9</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乙方提供有火灾报警系统的新建楼宇反馈信号传输至消控室服务。</w:t>
      </w:r>
    </w:p>
    <w:p w14:paraId="1B71601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消防设施设备材料维修</w:t>
      </w:r>
      <w:r>
        <w:rPr>
          <w:rFonts w:hint="eastAsia" w:ascii="宋体" w:hAnsi="宋体" w:eastAsia="宋体" w:cs="宋体"/>
          <w:kern w:val="0"/>
          <w:sz w:val="24"/>
          <w:szCs w:val="24"/>
          <w:lang w:val="en-US" w:eastAsia="zh-CN"/>
        </w:rPr>
        <w:t>所需更换配件：楼宇消防质保期外由招标人提供；楼宇消防质保期内由楼宇建设单位提供</w:t>
      </w:r>
      <w:r>
        <w:rPr>
          <w:rFonts w:hint="eastAsia" w:ascii="宋体" w:hAnsi="宋体" w:eastAsia="宋体" w:cs="宋体"/>
          <w:kern w:val="0"/>
          <w:sz w:val="24"/>
          <w:szCs w:val="24"/>
        </w:rPr>
        <w:t>。</w:t>
      </w:r>
    </w:p>
    <w:p w14:paraId="5D7BBCB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日常维保和应急维保规范化，制定维保计划和维保内容，安排持有中级及以上消防维保资质的专业人员维保，实现维保管理的标准化；</w:t>
      </w:r>
    </w:p>
    <w:p w14:paraId="18D71C5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人员履责管理，自动督办服务响应过程，服务的时间、内容、处置信息等；统计人员履责情况，督促安全人员做好本职工作。定期就相关系统运行情况向甲方进行汇报，并及时落实甲方提出的问题和意见。</w:t>
      </w:r>
    </w:p>
    <w:p w14:paraId="48B28DD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宋体" w:hAnsi="宋体" w:cs="宋体"/>
          <w:b/>
          <w:bCs/>
          <w:kern w:val="0"/>
          <w:sz w:val="24"/>
          <w:szCs w:val="24"/>
          <w:lang w:val="en-US" w:eastAsia="zh-CN"/>
        </w:rPr>
      </w:pPr>
    </w:p>
    <w:p w14:paraId="66D2C56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35E8858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6D89486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2E01CBF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05280BD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1764D25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226E7F9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附件4</w:t>
      </w:r>
    </w:p>
    <w:p w14:paraId="38E32A09">
      <w:pPr>
        <w:keepNext w:val="0"/>
        <w:keepLines w:val="0"/>
        <w:pageBreakBefore w:val="0"/>
        <w:widowControl w:val="0"/>
        <w:kinsoku/>
        <w:wordWrap/>
        <w:overflowPunct/>
        <w:topLinePunct w:val="0"/>
        <w:autoSpaceDE/>
        <w:autoSpaceDN/>
        <w:bidi w:val="0"/>
        <w:adjustRightInd w:val="0"/>
        <w:snapToGrid w:val="0"/>
        <w:spacing w:line="600" w:lineRule="auto"/>
        <w:ind w:firstLine="482" w:firstLineChars="200"/>
        <w:jc w:val="center"/>
        <w:textAlignment w:val="auto"/>
        <w:rPr>
          <w:rFonts w:hint="eastAsia" w:ascii="宋体" w:hAnsi="宋体" w:cs="方正仿宋_GBK"/>
          <w:b/>
          <w:bCs/>
          <w:sz w:val="24"/>
        </w:rPr>
      </w:pPr>
      <w:r>
        <w:rPr>
          <w:rFonts w:hint="eastAsia" w:ascii="宋体" w:hAnsi="宋体" w:cs="方正仿宋_GBK"/>
          <w:b/>
          <w:bCs/>
          <w:sz w:val="24"/>
          <w:lang w:val="en-US" w:eastAsia="zh-CN"/>
        </w:rPr>
        <w:t>消防设施</w:t>
      </w:r>
      <w:r>
        <w:rPr>
          <w:rFonts w:hint="eastAsia" w:ascii="宋体" w:hAnsi="宋体" w:cs="方正仿宋_GBK"/>
          <w:b/>
          <w:bCs/>
          <w:sz w:val="24"/>
        </w:rPr>
        <w:t>检测内容</w:t>
      </w:r>
    </w:p>
    <w:p w14:paraId="697F5014">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1.火灾自动报警系统</w:t>
      </w:r>
    </w:p>
    <w:p w14:paraId="7B32E3D3">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2.消防供水</w:t>
      </w:r>
    </w:p>
    <w:p w14:paraId="534ACDC5">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3.自动喷水灭火系统</w:t>
      </w:r>
    </w:p>
    <w:p w14:paraId="729ECD70">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4.自动消防炮系统</w:t>
      </w:r>
    </w:p>
    <w:p w14:paraId="2D12EF46">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5.室内消火栓</w:t>
      </w:r>
    </w:p>
    <w:p w14:paraId="7CE439B6">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sz w:val="24"/>
        </w:rPr>
      </w:pPr>
      <w:r>
        <w:rPr>
          <w:rFonts w:hint="eastAsia" w:ascii="宋体" w:hAnsi="宋体" w:cs="方正仿宋_GBK"/>
          <w:sz w:val="24"/>
        </w:rPr>
        <w:t>6.</w:t>
      </w:r>
      <w:r>
        <w:rPr>
          <w:rFonts w:hint="eastAsia" w:ascii="宋体" w:hAnsi="宋体"/>
          <w:sz w:val="24"/>
        </w:rPr>
        <w:t>电气火灾监控系统</w:t>
      </w:r>
    </w:p>
    <w:p w14:paraId="2BDC0DC1">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7.七氟丙烷气体灭火系统</w:t>
      </w:r>
    </w:p>
    <w:p w14:paraId="6EAF33F5">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8.火灾应急照明和疏散指示标志</w:t>
      </w:r>
    </w:p>
    <w:p w14:paraId="4B1C65F0">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9.</w:t>
      </w:r>
      <w:r>
        <w:rPr>
          <w:rFonts w:hint="eastAsia" w:ascii="宋体" w:hAnsi="宋体" w:cs="方正仿宋_GBK"/>
          <w:sz w:val="24"/>
          <w:lang w:val="en-US" w:eastAsia="zh-CN"/>
        </w:rPr>
        <w:t>钢制</w:t>
      </w:r>
      <w:r>
        <w:rPr>
          <w:rFonts w:hint="eastAsia" w:ascii="宋体" w:hAnsi="宋体" w:cs="方正仿宋_GBK"/>
          <w:sz w:val="24"/>
        </w:rPr>
        <w:t>防火门、防火卷帘及消防电梯</w:t>
      </w:r>
    </w:p>
    <w:p w14:paraId="4707BE5E">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10.正压送风及机械排烟系统</w:t>
      </w:r>
    </w:p>
    <w:p w14:paraId="1DE80C5D">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sz w:val="24"/>
        </w:rPr>
      </w:pPr>
      <w:r>
        <w:rPr>
          <w:rFonts w:hint="eastAsia" w:ascii="宋体" w:hAnsi="宋体" w:cs="方正仿宋_GBK"/>
          <w:sz w:val="24"/>
        </w:rPr>
        <w:t>11.</w:t>
      </w:r>
      <w:r>
        <w:rPr>
          <w:rFonts w:hint="eastAsia" w:ascii="宋体" w:hAnsi="宋体"/>
          <w:sz w:val="24"/>
        </w:rPr>
        <w:t xml:space="preserve"> 钢结构防火涂料</w:t>
      </w:r>
    </w:p>
    <w:p w14:paraId="08D02974">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sz w:val="24"/>
          <w:lang w:eastAsia="zh-CN"/>
        </w:rPr>
      </w:pPr>
      <w:r>
        <w:rPr>
          <w:rFonts w:hint="eastAsia" w:ascii="宋体" w:hAnsi="宋体"/>
          <w:sz w:val="24"/>
        </w:rPr>
        <w:t>12.其它检测项目</w:t>
      </w:r>
      <w:r>
        <w:rPr>
          <w:rFonts w:hint="eastAsia" w:ascii="宋体" w:hAnsi="宋体"/>
          <w:sz w:val="24"/>
          <w:lang w:eastAsia="zh-CN"/>
        </w:rPr>
        <w:t>。</w:t>
      </w:r>
    </w:p>
    <w:p w14:paraId="62A289D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259A0E0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2D2C8DC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2151295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3ABF92D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313F3BB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171410C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0867AD7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3B700A9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14:paraId="4EA597AD">
      <w:pPr>
        <w:pStyle w:val="3"/>
        <w:rPr>
          <w:rFonts w:hint="default"/>
          <w:lang w:val="en-US" w:eastAsia="zh-CN"/>
        </w:rPr>
      </w:pPr>
    </w:p>
    <w:p w14:paraId="3CB98538">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0E3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633A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8633A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E7A24"/>
    <w:rsid w:val="6A0E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2025-04-23T08:48:00Z</dcterms:created>
  <dc:creator>千里草1403852088</dc:creator>
  <cp:lastModifiedBy>千里草1403852088</cp:lastModifiedBy>
  <dcterms:modified xsi:type="dcterms:W3CDTF">2025-04-23T08:48:25Z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1C63CC476A9D421A98185E5B1E19B30C_11</vt:lpwstr>
  </property>
  <property fmtid="{D5CDD505-2E9C-101B-9397-08002B2CF9AE}" pid="4" name="KSOTemplateDocerSaveRecord">
    <vt:lpwstr>eyJoZGlkIjoiZWYzMDY2ZGYxMWE4ZTQwNjk5OTA2YjRlZDVjMWQ3NTUiLCJ1c2VySWQiOiIxNzc4MzMyMyJ9</vt:lpwstr>
  </property>
</Properties>
</file>