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pPr>
        <w:pStyle w:val="2"/>
        <w:ind w:left="0" w:leftChars="0" w:firstLine="0" w:firstLineChars="0"/>
        <w:jc w:val="center"/>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技术参数响应表</w:t>
      </w:r>
    </w:p>
    <w:tbl>
      <w:tblPr>
        <w:tblStyle w:val="13"/>
        <w:tblW w:w="10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55"/>
        <w:gridCol w:w="2265"/>
        <w:gridCol w:w="1845"/>
        <w:gridCol w:w="1725"/>
        <w:gridCol w:w="1005"/>
        <w:gridCol w:w="733"/>
        <w:gridCol w:w="1284"/>
        <w:gridCol w:w="12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64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8号公寓楼（4人/间）弱电布线材料清单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2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8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参考品牌</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参考规格、型号</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2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投标品牌</w:t>
            </w:r>
          </w:p>
        </w:tc>
        <w:tc>
          <w:tcPr>
            <w:tcW w:w="122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投标型号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六类非屏蔽双绞线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AP-6-01 </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六类模块(网络)</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AP-6-03-180</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单口信息面板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AP-M-04-1A</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TP-LINK</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TL-SF1005D</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联塑</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24mm*14mm</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86*86</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六类非屏蔽水晶头 (RJ45)</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24口六类非屏蔽配线架</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（含模块）</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AP-6-04-24S</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1U理线架</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AP-J-01-LG-12</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网络跳线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2米/根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机柜</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图腾</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42U</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汇聚交换机（配4个万兆单模模块/台）</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华为/华三/锐捷</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RG-S5760C-24GT8XS</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48口接入交换机（配4个千兆多模模块/台）</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华为/华三/锐捷</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S5130S-52P-EI</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单模光纤跳线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多模光纤跳线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64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25#公寓楼（4人/间）弱电布线材料清单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2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8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参考品牌</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参考规格、型号</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2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投标品牌</w:t>
            </w:r>
          </w:p>
        </w:tc>
        <w:tc>
          <w:tcPr>
            <w:tcW w:w="122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投标型号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六类4对非屏蔽双绞线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AP-6-01 </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六类模块(网络)</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AP-6-03-180</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单口信息面板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AP-M-04-1A</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8口交换机</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TP-LINK</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SF1008D</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不锈钢固定罩         （根据现场实物）</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154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联塑</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39mm*19mm</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86mm*86mm</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六类非屏蔽水晶头 (RJ45)</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多媒体信息箱</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定制</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300mm*400mm*100mm</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1U理线架</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AP-J-01-LG-12</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网络跳线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2米/根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24口六类非屏蔽配线架（含模块）</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天天纪、爱谱华顿、一舟</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AP-6-04-24S</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汇聚交换机（配4个万兆单模模块/台）</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华为/华三/锐捷</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RG-S5760C-24GT8XS</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48口接入交换机  （配4个千兆多模模块/台）</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华为/华三/锐捷</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S5130S-52P-EI</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单模光纤跳线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16</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多模光纤跳线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机柜</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图腾</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42U</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胶布、扎带、标签、螺丝等</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bl>
    <w:p>
      <w:pPr>
        <w:pStyle w:val="2"/>
        <w:ind w:left="0" w:leftChars="0" w:firstLine="0" w:firstLineChars="0"/>
        <w:jc w:val="left"/>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注：</w:t>
      </w:r>
    </w:p>
    <w:p>
      <w:pPr>
        <w:pStyle w:val="16"/>
        <w:spacing w:beforeAutospacing="0" w:afterAutospacing="0" w:line="360" w:lineRule="auto"/>
        <w:ind w:right="275" w:rightChars="131"/>
        <w:jc w:val="both"/>
        <w:outlineLvl w:val="0"/>
        <w:rPr>
          <w:rFonts w:hint="eastAsia" w:eastAsia="宋体" w:cs="宋体"/>
          <w:b w:val="0"/>
          <w:bCs w:val="0"/>
          <w:color w:val="000000"/>
          <w:sz w:val="28"/>
          <w:szCs w:val="28"/>
          <w:u w:val="single"/>
          <w:lang w:eastAsia="zh-CN"/>
        </w:rPr>
      </w:pPr>
      <w:r>
        <w:rPr>
          <w:rFonts w:hint="eastAsia" w:eastAsia="宋体" w:cs="宋体"/>
          <w:b/>
          <w:bCs/>
          <w:color w:val="000000"/>
          <w:sz w:val="28"/>
          <w:szCs w:val="28"/>
          <w:lang w:val="en-US" w:eastAsia="zh-CN"/>
        </w:rPr>
        <w:t>1、技术响应表要求：</w:t>
      </w:r>
      <w:r>
        <w:rPr>
          <w:rFonts w:hint="eastAsia" w:eastAsia="宋体" w:cs="宋体"/>
          <w:b w:val="0"/>
          <w:bCs w:val="0"/>
          <w:color w:val="000000"/>
          <w:sz w:val="28"/>
          <w:szCs w:val="28"/>
          <w:lang w:eastAsia="zh-CN"/>
        </w:rPr>
        <w:t>请各投标单位制作投标书技术标时，</w:t>
      </w:r>
      <w:r>
        <w:rPr>
          <w:rFonts w:hint="eastAsia" w:eastAsia="宋体" w:cs="宋体"/>
          <w:b w:val="0"/>
          <w:bCs w:val="0"/>
          <w:color w:val="000000"/>
          <w:sz w:val="28"/>
          <w:szCs w:val="28"/>
          <w:u w:val="single"/>
          <w:lang w:eastAsia="zh-CN"/>
        </w:rPr>
        <w:t>不可完全复制套用，请务必提供投标产品的实际参数。</w:t>
      </w:r>
    </w:p>
    <w:p>
      <w:pPr>
        <w:pStyle w:val="16"/>
        <w:spacing w:beforeAutospacing="0" w:afterAutospacing="0" w:line="360" w:lineRule="auto"/>
        <w:ind w:right="275" w:rightChars="131"/>
        <w:jc w:val="both"/>
        <w:outlineLvl w:val="0"/>
        <w:rPr>
          <w:rFonts w:hint="default" w:ascii="宋体" w:hAnsi="宋体" w:eastAsia="宋体" w:cs="宋体"/>
          <w:b w:val="0"/>
          <w:bCs w:val="0"/>
          <w:color w:val="000000"/>
          <w:sz w:val="28"/>
          <w:szCs w:val="28"/>
          <w:lang w:val="en-US" w:eastAsia="zh-CN"/>
        </w:rPr>
      </w:pPr>
      <w:r>
        <w:rPr>
          <w:rFonts w:hint="eastAsia" w:ascii="宋体" w:hAnsi="宋体" w:eastAsia="宋体" w:cs="宋体"/>
          <w:b/>
          <w:bCs/>
          <w:color w:val="000000"/>
          <w:sz w:val="28"/>
          <w:szCs w:val="28"/>
          <w:lang w:val="en-US" w:eastAsia="zh-CN"/>
        </w:rPr>
        <w:t>2、参数设置：</w:t>
      </w:r>
      <w:r>
        <w:rPr>
          <w:rFonts w:hint="eastAsia" w:ascii="宋体" w:hAnsi="宋体" w:eastAsia="宋体" w:cs="宋体"/>
          <w:b w:val="0"/>
          <w:bCs w:val="0"/>
          <w:color w:val="000000"/>
          <w:sz w:val="28"/>
          <w:szCs w:val="28"/>
          <w:u w:val="single"/>
          <w:lang w:val="en-US" w:eastAsia="zh-CN"/>
        </w:rPr>
        <w:t>参数表里给出的品牌和型号仅供对比、参照，非招标方指定品牌、型号</w:t>
      </w:r>
      <w:r>
        <w:rPr>
          <w:rFonts w:hint="eastAsia" w:ascii="宋体" w:hAnsi="宋体" w:eastAsia="宋体" w:cs="宋体"/>
          <w:b w:val="0"/>
          <w:bCs w:val="0"/>
          <w:color w:val="000000"/>
          <w:sz w:val="28"/>
          <w:szCs w:val="28"/>
          <w:lang w:val="en-US" w:eastAsia="zh-CN"/>
        </w:rPr>
        <w:t>。</w:t>
      </w:r>
    </w:p>
    <w:p>
      <w:pPr>
        <w:pStyle w:val="12"/>
        <w:rPr>
          <w:rFonts w:hint="eastAsia" w:ascii="宋体" w:hAnsi="宋体" w:eastAsia="宋体" w:cs="宋体"/>
          <w:b/>
          <w:bCs/>
          <w:color w:val="000000"/>
          <w:kern w:val="2"/>
          <w:sz w:val="30"/>
          <w:szCs w:val="30"/>
          <w:lang w:val="en-US" w:eastAsia="zh-CN" w:bidi="ar-SA"/>
        </w:rPr>
      </w:pPr>
    </w:p>
    <w:p>
      <w:pPr>
        <w:pStyle w:val="12"/>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8#、25#公寓楼弱电改造方案</w:t>
      </w:r>
    </w:p>
    <w:p>
      <w:pPr>
        <w:spacing w:line="360" w:lineRule="auto"/>
        <w:rPr>
          <w:rFonts w:ascii="宋体" w:hAnsi="宋体"/>
          <w:sz w:val="24"/>
        </w:rPr>
      </w:pPr>
      <w:r>
        <w:rPr>
          <w:rFonts w:hint="eastAsia" w:ascii="宋体" w:hAnsi="宋体"/>
          <w:b/>
          <w:bCs/>
          <w:sz w:val="24"/>
        </w:rPr>
        <w:t>一.建设需求：</w:t>
      </w:r>
    </w:p>
    <w:p>
      <w:pPr>
        <w:spacing w:line="360" w:lineRule="auto"/>
        <w:ind w:firstLine="424" w:firstLineChars="177"/>
        <w:rPr>
          <w:rFonts w:ascii="宋体" w:hAnsi="宋体"/>
          <w:sz w:val="24"/>
        </w:rPr>
      </w:pPr>
      <w:r>
        <w:rPr>
          <w:rFonts w:hint="eastAsia" w:ascii="宋体" w:hAnsi="宋体"/>
          <w:sz w:val="24"/>
        </w:rPr>
        <w:t>根据学校公寓楼改造安排，本次对8#、25#学生公寓的弱电进行全面改造：拆除旧线缆、设备，改造弱电间，重新放线至各房间，重做室内信息点。</w:t>
      </w:r>
    </w:p>
    <w:p>
      <w:pPr>
        <w:spacing w:line="360" w:lineRule="auto"/>
        <w:rPr>
          <w:rFonts w:ascii="宋体" w:hAnsi="宋体"/>
          <w:sz w:val="24"/>
        </w:rPr>
      </w:pPr>
      <w:r>
        <w:rPr>
          <w:rFonts w:hint="eastAsia" w:ascii="宋体" w:hAnsi="宋体"/>
          <w:b/>
          <w:bCs/>
          <w:sz w:val="24"/>
        </w:rPr>
        <w:t>二.具体方案：</w:t>
      </w:r>
    </w:p>
    <w:p>
      <w:pPr>
        <w:spacing w:line="360" w:lineRule="auto"/>
        <w:rPr>
          <w:b/>
        </w:rPr>
      </w:pPr>
      <w:r>
        <w:rPr>
          <w:rFonts w:hint="eastAsia"/>
          <w:b/>
        </w:rPr>
        <w:t>（一）网络设备部分：</w:t>
      </w:r>
    </w:p>
    <w:p>
      <w:pPr>
        <w:spacing w:line="360" w:lineRule="auto"/>
        <w:ind w:firstLine="480" w:firstLineChars="200"/>
        <w:rPr>
          <w:rFonts w:ascii="宋体" w:hAnsi="宋体"/>
          <w:sz w:val="24"/>
        </w:rPr>
      </w:pPr>
      <w:r>
        <w:rPr>
          <w:rFonts w:hint="eastAsia" w:ascii="宋体" w:hAnsi="宋体"/>
          <w:sz w:val="24"/>
        </w:rPr>
        <w:t xml:space="preserve">  根据网络现状，此次改造网络设备主要包括万兆汇聚交换机2台，千兆接入交换机12台；</w:t>
      </w:r>
      <w:r>
        <w:rPr>
          <w:rFonts w:ascii="宋体" w:hAnsi="宋体"/>
          <w:sz w:val="24"/>
        </w:rPr>
        <w:t xml:space="preserve"> </w:t>
      </w:r>
    </w:p>
    <w:p>
      <w:pPr>
        <w:widowControl w:val="0"/>
        <w:numPr>
          <w:ilvl w:val="0"/>
          <w:numId w:val="1"/>
        </w:numPr>
        <w:spacing w:after="0" w:line="360" w:lineRule="auto"/>
        <w:jc w:val="both"/>
        <w:rPr>
          <w:rFonts w:ascii="宋体" w:hAnsi="宋体"/>
          <w:sz w:val="24"/>
        </w:rPr>
      </w:pPr>
      <w:r>
        <w:rPr>
          <w:rFonts w:hint="eastAsia" w:ascii="宋体" w:hAnsi="宋体"/>
          <w:sz w:val="24"/>
        </w:rPr>
        <w:t>汇聚层：</w:t>
      </w:r>
    </w:p>
    <w:p>
      <w:pPr>
        <w:spacing w:line="360" w:lineRule="auto"/>
        <w:ind w:firstLine="480" w:firstLineChars="200"/>
        <w:rPr>
          <w:rFonts w:ascii="宋体" w:hAnsi="宋体"/>
          <w:sz w:val="24"/>
        </w:rPr>
      </w:pPr>
      <w:r>
        <w:rPr>
          <w:rFonts w:hint="eastAsia" w:ascii="宋体" w:hAnsi="宋体"/>
          <w:sz w:val="24"/>
        </w:rPr>
        <w:t>8#、25#楼弱电间各放置一台汇聚交换机，汇聚交换机提供两</w:t>
      </w:r>
      <w:r>
        <w:rPr>
          <w:rFonts w:hint="eastAsia" w:ascii="宋体" w:hAnsi="宋体"/>
          <w:sz w:val="24"/>
          <w:lang w:eastAsia="zh-CN"/>
        </w:rPr>
        <w:t>个</w:t>
      </w:r>
      <w:r>
        <w:rPr>
          <w:rFonts w:hint="eastAsia" w:ascii="宋体" w:hAnsi="宋体"/>
          <w:sz w:val="24"/>
        </w:rPr>
        <w:t>万兆上行接口： 8#楼汇聚接入图书馆中心机房核心交换；25#楼汇聚接入30公寓楼核心。以上汇聚均提供2</w:t>
      </w:r>
      <w:r>
        <w:rPr>
          <w:rFonts w:hint="eastAsia" w:ascii="宋体" w:hAnsi="宋体"/>
          <w:sz w:val="24"/>
          <w:lang w:eastAsia="zh-CN"/>
        </w:rPr>
        <w:t>个</w:t>
      </w:r>
      <w:r>
        <w:rPr>
          <w:rFonts w:hint="eastAsia" w:ascii="宋体" w:hAnsi="宋体"/>
          <w:sz w:val="24"/>
        </w:rPr>
        <w:t>千兆光口连接本楼宇的其他接入交换机。</w:t>
      </w:r>
    </w:p>
    <w:p>
      <w:pPr>
        <w:widowControl w:val="0"/>
        <w:numPr>
          <w:ilvl w:val="0"/>
          <w:numId w:val="1"/>
        </w:numPr>
        <w:spacing w:after="0" w:line="360" w:lineRule="auto"/>
        <w:jc w:val="both"/>
        <w:rPr>
          <w:rFonts w:ascii="宋体" w:hAnsi="宋体"/>
          <w:sz w:val="24"/>
        </w:rPr>
      </w:pPr>
      <w:r>
        <w:rPr>
          <w:rFonts w:hint="eastAsia" w:ascii="宋体" w:hAnsi="宋体"/>
          <w:sz w:val="24"/>
        </w:rPr>
        <w:t>接入层：</w:t>
      </w:r>
    </w:p>
    <w:p>
      <w:pPr>
        <w:spacing w:line="360" w:lineRule="auto"/>
        <w:ind w:firstLine="420"/>
        <w:rPr>
          <w:rFonts w:ascii="宋体" w:hAnsi="宋体"/>
          <w:sz w:val="24"/>
        </w:rPr>
      </w:pPr>
      <w:r>
        <w:rPr>
          <w:rFonts w:hint="eastAsia" w:ascii="宋体" w:hAnsi="宋体"/>
          <w:sz w:val="24"/>
        </w:rPr>
        <w:t>8#公寓楼弱电间放置7台48口千兆接入交换机、25#公寓楼弱电间放置4台48口千兆接入交换机，分别通过2</w:t>
      </w:r>
      <w:r>
        <w:rPr>
          <w:rFonts w:hint="eastAsia" w:ascii="宋体" w:hAnsi="宋体"/>
          <w:sz w:val="24"/>
          <w:lang w:eastAsia="zh-CN"/>
        </w:rPr>
        <w:t>个</w:t>
      </w:r>
      <w:r>
        <w:rPr>
          <w:rFonts w:hint="eastAsia" w:ascii="宋体" w:hAnsi="宋体"/>
          <w:sz w:val="24"/>
        </w:rPr>
        <w:t>千兆光口接入对应楼宇的汇聚交换机。</w:t>
      </w:r>
    </w:p>
    <w:p>
      <w:pPr>
        <w:spacing w:line="360" w:lineRule="auto"/>
        <w:rPr>
          <w:rFonts w:ascii="宋体" w:hAnsi="宋体"/>
          <w:b/>
          <w:sz w:val="24"/>
        </w:rPr>
      </w:pPr>
      <w:r>
        <w:rPr>
          <w:rFonts w:hint="eastAsia" w:ascii="宋体" w:hAnsi="宋体"/>
          <w:b/>
          <w:sz w:val="24"/>
        </w:rPr>
        <w:t>（二）综合布线部分：</w:t>
      </w:r>
    </w:p>
    <w:p>
      <w:pPr>
        <w:spacing w:line="360" w:lineRule="auto"/>
        <w:ind w:firstLine="420"/>
        <w:rPr>
          <w:rFonts w:ascii="宋体" w:hAnsi="宋体"/>
          <w:sz w:val="24"/>
        </w:rPr>
      </w:pPr>
      <w:r>
        <w:rPr>
          <w:rFonts w:hint="eastAsia" w:ascii="宋体" w:hAnsi="宋体"/>
          <w:sz w:val="24"/>
        </w:rPr>
        <w:t>依据目标和需求分析，采用六类非屏蔽系统混合综合布线模式。各子系统（包括：工作区子系统、水平子系统、管理子系统）的设计均要求符合GB 50311-2007 《综合布线系统工程设计规范》中对各子系统的规定，具体要求包括：</w:t>
      </w:r>
    </w:p>
    <w:p>
      <w:pPr>
        <w:spacing w:line="360" w:lineRule="auto"/>
        <w:ind w:firstLine="480" w:firstLineChars="200"/>
        <w:rPr>
          <w:rFonts w:ascii="宋体" w:hAnsi="宋体"/>
          <w:sz w:val="24"/>
        </w:rPr>
      </w:pPr>
      <w:r>
        <w:rPr>
          <w:rFonts w:hint="eastAsia" w:ascii="宋体" w:hAnsi="宋体"/>
          <w:sz w:val="24"/>
        </w:rPr>
        <w:t>1、工作区子系统：两栋楼共有信息点约2100个，所有信息点均采用六类布线系统标准的四对非屏蔽双绞线，各信息点采用六类信息模块并配置相应的单口面板。</w:t>
      </w:r>
    </w:p>
    <w:p>
      <w:pPr>
        <w:spacing w:line="360" w:lineRule="auto"/>
        <w:ind w:firstLine="480" w:firstLineChars="200"/>
        <w:rPr>
          <w:rFonts w:ascii="宋体" w:hAnsi="宋体"/>
          <w:sz w:val="24"/>
        </w:rPr>
      </w:pPr>
      <w:r>
        <w:rPr>
          <w:rFonts w:hint="eastAsia" w:ascii="宋体" w:hAnsi="宋体"/>
          <w:sz w:val="24"/>
        </w:rPr>
        <w:t>2、水平子系统：采用六类布线系统标准的四对非屏蔽双绞线（UTP）连接到各功能区的信息点。</w:t>
      </w:r>
    </w:p>
    <w:p>
      <w:pPr>
        <w:spacing w:line="360" w:lineRule="auto"/>
        <w:ind w:firstLine="480" w:firstLineChars="200"/>
        <w:rPr>
          <w:rFonts w:ascii="宋体" w:hAnsi="宋体"/>
          <w:sz w:val="24"/>
        </w:rPr>
      </w:pPr>
      <w:r>
        <w:rPr>
          <w:rFonts w:hint="eastAsia" w:ascii="宋体" w:hAnsi="宋体"/>
          <w:sz w:val="24"/>
        </w:rPr>
        <w:t>3、管理子系统： 8#、25#公寓楼各设置1间弱电间，用于设备存放和线缆端接，所有布线均需端接于六类布线系统标准的配线架。</w:t>
      </w:r>
    </w:p>
    <w:p>
      <w:pPr>
        <w:spacing w:line="360" w:lineRule="auto"/>
        <w:rPr>
          <w:rFonts w:ascii="宋体" w:hAnsi="宋体"/>
          <w:b/>
          <w:bCs/>
          <w:sz w:val="24"/>
        </w:rPr>
      </w:pPr>
      <w:r>
        <w:rPr>
          <w:rFonts w:hint="eastAsia" w:ascii="宋体" w:hAnsi="宋体"/>
          <w:b/>
          <w:bCs/>
          <w:sz w:val="24"/>
        </w:rPr>
        <w:t>二.设备参数需求：</w:t>
      </w:r>
    </w:p>
    <w:p>
      <w:pPr>
        <w:spacing w:line="360" w:lineRule="auto"/>
        <w:rPr>
          <w:rFonts w:ascii="宋体" w:hAnsi="宋体"/>
          <w:b/>
          <w:sz w:val="24"/>
        </w:rPr>
      </w:pPr>
      <w:r>
        <w:rPr>
          <w:rFonts w:hint="eastAsia" w:ascii="宋体" w:hAnsi="宋体"/>
          <w:b/>
          <w:sz w:val="24"/>
        </w:rPr>
        <w:t>（一）网络设备需求：</w:t>
      </w:r>
    </w:p>
    <w:tbl>
      <w:tblPr>
        <w:tblStyle w:val="13"/>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700"/>
        <w:gridCol w:w="5579"/>
        <w:gridCol w:w="85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pPr>
              <w:jc w:val="center"/>
              <w:rPr>
                <w:rFonts w:ascii="宋体" w:hAnsi="宋体"/>
                <w:sz w:val="24"/>
              </w:rPr>
            </w:pPr>
            <w:r>
              <w:rPr>
                <w:rFonts w:hint="eastAsia" w:ascii="宋体" w:hAnsi="宋体"/>
                <w:b/>
                <w:sz w:val="24"/>
              </w:rPr>
              <w:t>序号</w:t>
            </w:r>
          </w:p>
        </w:tc>
        <w:tc>
          <w:tcPr>
            <w:tcW w:w="1700" w:type="dxa"/>
            <w:noWrap w:val="0"/>
            <w:vAlign w:val="center"/>
          </w:tcPr>
          <w:p>
            <w:pPr>
              <w:jc w:val="center"/>
              <w:rPr>
                <w:rFonts w:ascii="宋体" w:hAnsi="宋体"/>
                <w:b/>
                <w:sz w:val="24"/>
              </w:rPr>
            </w:pPr>
            <w:r>
              <w:rPr>
                <w:rFonts w:hint="eastAsia" w:ascii="宋体" w:hAnsi="宋体"/>
                <w:b/>
                <w:sz w:val="24"/>
              </w:rPr>
              <w:t>设备名称</w:t>
            </w:r>
          </w:p>
        </w:tc>
        <w:tc>
          <w:tcPr>
            <w:tcW w:w="5579" w:type="dxa"/>
            <w:noWrap w:val="0"/>
            <w:vAlign w:val="center"/>
          </w:tcPr>
          <w:p>
            <w:pPr>
              <w:jc w:val="center"/>
              <w:rPr>
                <w:rFonts w:ascii="宋体" w:hAnsi="宋体"/>
                <w:b/>
                <w:sz w:val="24"/>
              </w:rPr>
            </w:pPr>
            <w:r>
              <w:rPr>
                <w:rFonts w:hint="eastAsia" w:ascii="宋体" w:hAnsi="宋体"/>
                <w:b/>
                <w:sz w:val="24"/>
              </w:rPr>
              <w:t>配置要求及技术要求</w:t>
            </w:r>
          </w:p>
        </w:tc>
        <w:tc>
          <w:tcPr>
            <w:tcW w:w="850" w:type="dxa"/>
            <w:noWrap w:val="0"/>
            <w:vAlign w:val="center"/>
          </w:tcPr>
          <w:p>
            <w:pPr>
              <w:jc w:val="center"/>
              <w:rPr>
                <w:rFonts w:ascii="宋体" w:hAnsi="宋体"/>
                <w:b/>
                <w:sz w:val="24"/>
              </w:rPr>
            </w:pPr>
            <w:r>
              <w:rPr>
                <w:rFonts w:hint="eastAsia" w:ascii="宋体" w:hAnsi="宋体"/>
                <w:b/>
                <w:sz w:val="24"/>
              </w:rPr>
              <w:t>单位</w:t>
            </w:r>
          </w:p>
        </w:tc>
        <w:tc>
          <w:tcPr>
            <w:tcW w:w="832" w:type="dxa"/>
            <w:noWrap w:val="0"/>
            <w:vAlign w:val="center"/>
          </w:tcPr>
          <w:p>
            <w:pPr>
              <w:jc w:val="center"/>
              <w:rPr>
                <w:rFonts w:ascii="宋体" w:hAnsi="宋体"/>
                <w:b/>
                <w:sz w:val="24"/>
              </w:rPr>
            </w:pPr>
            <w:r>
              <w:rPr>
                <w:rFonts w:hint="eastAsia" w:ascii="宋体" w:hAnsi="宋体"/>
                <w:b/>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jc w:val="center"/>
        </w:trPr>
        <w:tc>
          <w:tcPr>
            <w:tcW w:w="811" w:type="dxa"/>
            <w:noWrap w:val="0"/>
            <w:vAlign w:val="center"/>
          </w:tcPr>
          <w:p>
            <w:pPr>
              <w:spacing w:line="440" w:lineRule="exact"/>
              <w:jc w:val="center"/>
              <w:rPr>
                <w:rFonts w:ascii="宋体" w:hAnsi="宋体" w:eastAsia="宋体"/>
                <w:sz w:val="24"/>
              </w:rPr>
            </w:pPr>
            <w:r>
              <w:rPr>
                <w:rFonts w:hint="eastAsia" w:ascii="宋体" w:hAnsi="宋体"/>
                <w:sz w:val="24"/>
              </w:rPr>
              <w:t>1</w:t>
            </w:r>
          </w:p>
        </w:tc>
        <w:tc>
          <w:tcPr>
            <w:tcW w:w="1700" w:type="dxa"/>
            <w:noWrap w:val="0"/>
            <w:vAlign w:val="center"/>
          </w:tcPr>
          <w:p>
            <w:pPr>
              <w:spacing w:line="440" w:lineRule="exact"/>
              <w:rPr>
                <w:rFonts w:ascii="宋体" w:hAnsi="宋体"/>
                <w:sz w:val="24"/>
              </w:rPr>
            </w:pPr>
            <w:r>
              <w:rPr>
                <w:rFonts w:hint="eastAsia" w:ascii="宋体" w:hAnsi="宋体"/>
                <w:sz w:val="24"/>
              </w:rPr>
              <w:t>汇聚交换机</w:t>
            </w:r>
          </w:p>
        </w:tc>
        <w:tc>
          <w:tcPr>
            <w:tcW w:w="5579" w:type="dxa"/>
            <w:noWrap w:val="0"/>
            <w:vAlign w:val="center"/>
          </w:tcPr>
          <w:p>
            <w:pPr>
              <w:spacing w:line="440" w:lineRule="exact"/>
              <w:rPr>
                <w:rFonts w:ascii="宋体" w:hAnsi="宋体"/>
                <w:sz w:val="24"/>
              </w:rPr>
            </w:pPr>
            <w:r>
              <w:rPr>
                <w:rFonts w:hint="eastAsia" w:ascii="宋体" w:hAnsi="宋体"/>
                <w:sz w:val="24"/>
              </w:rPr>
              <w:t>提供千兆光口数≥24个，千兆电口数≥8个，万兆端口数≥2个（报价时每台应包含万兆单模光纤模块4只）；技术参数下面详细介绍</w:t>
            </w:r>
          </w:p>
        </w:tc>
        <w:tc>
          <w:tcPr>
            <w:tcW w:w="850" w:type="dxa"/>
            <w:noWrap w:val="0"/>
            <w:vAlign w:val="center"/>
          </w:tcPr>
          <w:p>
            <w:pPr>
              <w:spacing w:line="440" w:lineRule="exact"/>
              <w:jc w:val="center"/>
              <w:rPr>
                <w:rFonts w:ascii="宋体" w:hAnsi="宋体"/>
                <w:sz w:val="24"/>
              </w:rPr>
            </w:pPr>
            <w:r>
              <w:rPr>
                <w:rFonts w:hint="eastAsia" w:ascii="宋体" w:hAnsi="宋体"/>
                <w:sz w:val="24"/>
              </w:rPr>
              <w:t>台</w:t>
            </w:r>
          </w:p>
        </w:tc>
        <w:tc>
          <w:tcPr>
            <w:tcW w:w="832" w:type="dxa"/>
            <w:noWrap w:val="0"/>
            <w:vAlign w:val="center"/>
          </w:tcPr>
          <w:p>
            <w:pPr>
              <w:spacing w:line="440" w:lineRule="exact"/>
              <w:jc w:val="center"/>
              <w:rPr>
                <w:rFonts w:ascii="宋体" w:hAnsi="宋体" w:eastAsia="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pPr>
              <w:spacing w:line="440" w:lineRule="exact"/>
              <w:jc w:val="center"/>
              <w:rPr>
                <w:rFonts w:ascii="宋体" w:hAnsi="宋体" w:eastAsia="宋体"/>
                <w:sz w:val="24"/>
              </w:rPr>
            </w:pPr>
            <w:r>
              <w:rPr>
                <w:rFonts w:hint="eastAsia" w:ascii="宋体" w:hAnsi="宋体"/>
                <w:sz w:val="24"/>
              </w:rPr>
              <w:t>2</w:t>
            </w:r>
          </w:p>
        </w:tc>
        <w:tc>
          <w:tcPr>
            <w:tcW w:w="1700" w:type="dxa"/>
            <w:noWrap w:val="0"/>
            <w:vAlign w:val="center"/>
          </w:tcPr>
          <w:p>
            <w:pPr>
              <w:spacing w:line="440" w:lineRule="exact"/>
              <w:rPr>
                <w:rFonts w:ascii="宋体" w:hAnsi="宋体"/>
                <w:sz w:val="24"/>
              </w:rPr>
            </w:pPr>
            <w:r>
              <w:rPr>
                <w:rFonts w:hint="eastAsia" w:ascii="宋体" w:hAnsi="宋体"/>
                <w:sz w:val="24"/>
              </w:rPr>
              <w:t>接入交换机</w:t>
            </w:r>
          </w:p>
        </w:tc>
        <w:tc>
          <w:tcPr>
            <w:tcW w:w="5579" w:type="dxa"/>
            <w:noWrap w:val="0"/>
            <w:vAlign w:val="center"/>
          </w:tcPr>
          <w:p>
            <w:pPr>
              <w:spacing w:line="440" w:lineRule="exact"/>
              <w:rPr>
                <w:rFonts w:ascii="宋体" w:hAnsi="宋体"/>
                <w:sz w:val="24"/>
              </w:rPr>
            </w:pPr>
            <w:r>
              <w:rPr>
                <w:rFonts w:hint="eastAsia" w:ascii="宋体" w:hAnsi="宋体"/>
                <w:sz w:val="24"/>
              </w:rPr>
              <w:t>设备固化千兆电口数≥48个，独立千兆SFP端口≥4个（报价时应包含千兆多模光纤模块4只）；技术参数下面详细介绍</w:t>
            </w:r>
          </w:p>
        </w:tc>
        <w:tc>
          <w:tcPr>
            <w:tcW w:w="850" w:type="dxa"/>
            <w:noWrap w:val="0"/>
            <w:vAlign w:val="center"/>
          </w:tcPr>
          <w:p>
            <w:pPr>
              <w:spacing w:line="440" w:lineRule="exact"/>
              <w:jc w:val="center"/>
              <w:rPr>
                <w:rFonts w:ascii="宋体" w:hAnsi="宋体"/>
                <w:sz w:val="24"/>
              </w:rPr>
            </w:pPr>
            <w:r>
              <w:rPr>
                <w:rFonts w:hint="eastAsia" w:ascii="宋体" w:hAnsi="宋体"/>
                <w:sz w:val="24"/>
              </w:rPr>
              <w:t>台</w:t>
            </w:r>
          </w:p>
        </w:tc>
        <w:tc>
          <w:tcPr>
            <w:tcW w:w="832" w:type="dxa"/>
            <w:noWrap w:val="0"/>
            <w:vAlign w:val="center"/>
          </w:tcPr>
          <w:p>
            <w:pPr>
              <w:spacing w:line="440" w:lineRule="exact"/>
              <w:jc w:val="center"/>
              <w:rPr>
                <w:rFonts w:ascii="宋体" w:hAnsi="宋体"/>
                <w:sz w:val="24"/>
              </w:rPr>
            </w:pPr>
            <w:r>
              <w:rPr>
                <w:rFonts w:hint="eastAsia" w:ascii="宋体" w:hAnsi="宋体"/>
                <w:sz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pPr>
              <w:spacing w:line="440" w:lineRule="exact"/>
              <w:jc w:val="center"/>
              <w:rPr>
                <w:rFonts w:ascii="宋体" w:hAnsi="宋体" w:eastAsia="宋体"/>
                <w:sz w:val="24"/>
              </w:rPr>
            </w:pPr>
            <w:r>
              <w:rPr>
                <w:rFonts w:hint="eastAsia" w:ascii="宋体" w:hAnsi="宋体"/>
                <w:sz w:val="24"/>
              </w:rPr>
              <w:t>3</w:t>
            </w:r>
          </w:p>
        </w:tc>
        <w:tc>
          <w:tcPr>
            <w:tcW w:w="1700" w:type="dxa"/>
            <w:noWrap w:val="0"/>
            <w:vAlign w:val="center"/>
          </w:tcPr>
          <w:p>
            <w:pPr>
              <w:spacing w:line="440" w:lineRule="exact"/>
              <w:rPr>
                <w:rFonts w:ascii="宋体" w:hAnsi="宋体"/>
                <w:sz w:val="24"/>
              </w:rPr>
            </w:pPr>
            <w:r>
              <w:rPr>
                <w:rFonts w:hint="eastAsia" w:ascii="宋体" w:hAnsi="宋体"/>
                <w:sz w:val="24"/>
              </w:rPr>
              <w:t>5口千兆小交换机</w:t>
            </w:r>
          </w:p>
        </w:tc>
        <w:tc>
          <w:tcPr>
            <w:tcW w:w="5579" w:type="dxa"/>
            <w:noWrap w:val="0"/>
            <w:vAlign w:val="center"/>
          </w:tcPr>
          <w:p>
            <w:pPr>
              <w:spacing w:line="440" w:lineRule="exact"/>
              <w:rPr>
                <w:rFonts w:ascii="宋体" w:hAnsi="宋体"/>
                <w:sz w:val="24"/>
              </w:rPr>
            </w:pPr>
            <w:r>
              <w:rPr>
                <w:rFonts w:hint="eastAsia" w:ascii="宋体" w:hAnsi="宋体"/>
                <w:sz w:val="24"/>
              </w:rPr>
              <w:t>5口千兆交换机，推荐华为</w:t>
            </w:r>
            <w:r>
              <w:rPr>
                <w:rFonts w:hint="eastAsia" w:ascii="宋体" w:hAnsi="宋体"/>
                <w:sz w:val="24"/>
                <w:lang w:eastAsia="zh-CN"/>
              </w:rPr>
              <w:t>、</w:t>
            </w:r>
            <w:r>
              <w:rPr>
                <w:rFonts w:hint="eastAsia" w:ascii="宋体" w:hAnsi="宋体"/>
                <w:sz w:val="24"/>
              </w:rPr>
              <w:t>华三</w:t>
            </w:r>
            <w:r>
              <w:rPr>
                <w:rFonts w:hint="eastAsia" w:ascii="宋体" w:hAnsi="宋体"/>
                <w:sz w:val="24"/>
                <w:lang w:eastAsia="zh-CN"/>
              </w:rPr>
              <w:t>、锐捷、</w:t>
            </w:r>
            <w:r>
              <w:rPr>
                <w:rFonts w:hint="eastAsia" w:ascii="宋体" w:hAnsi="宋体"/>
                <w:sz w:val="24"/>
              </w:rPr>
              <w:t>tplink等一线品牌</w:t>
            </w:r>
            <w:r>
              <w:rPr>
                <w:rFonts w:ascii="宋体" w:hAnsi="宋体"/>
                <w:sz w:val="24"/>
              </w:rPr>
              <w:t xml:space="preserve"> </w:t>
            </w:r>
          </w:p>
        </w:tc>
        <w:tc>
          <w:tcPr>
            <w:tcW w:w="850" w:type="dxa"/>
            <w:noWrap w:val="0"/>
            <w:vAlign w:val="center"/>
          </w:tcPr>
          <w:p>
            <w:pPr>
              <w:spacing w:line="440" w:lineRule="exact"/>
              <w:jc w:val="center"/>
              <w:rPr>
                <w:rFonts w:ascii="宋体" w:hAnsi="宋体"/>
                <w:sz w:val="24"/>
              </w:rPr>
            </w:pPr>
            <w:r>
              <w:rPr>
                <w:rFonts w:hint="eastAsia" w:ascii="宋体" w:hAnsi="宋体"/>
                <w:sz w:val="24"/>
              </w:rPr>
              <w:t>台</w:t>
            </w:r>
          </w:p>
        </w:tc>
        <w:tc>
          <w:tcPr>
            <w:tcW w:w="832" w:type="dxa"/>
            <w:noWrap w:val="0"/>
            <w:vAlign w:val="center"/>
          </w:tcPr>
          <w:p>
            <w:pPr>
              <w:spacing w:line="440" w:lineRule="exact"/>
              <w:jc w:val="center"/>
              <w:rPr>
                <w:rFonts w:ascii="宋体" w:hAnsi="宋体"/>
                <w:sz w:val="24"/>
              </w:rPr>
            </w:pPr>
            <w:r>
              <w:rPr>
                <w:rFonts w:hint="eastAsia" w:ascii="宋体" w:hAnsi="宋体"/>
                <w:sz w:val="24"/>
              </w:rPr>
              <w:t>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811" w:type="dxa"/>
            <w:noWrap w:val="0"/>
            <w:vAlign w:val="center"/>
          </w:tcPr>
          <w:p>
            <w:pPr>
              <w:spacing w:line="440" w:lineRule="exact"/>
              <w:jc w:val="center"/>
              <w:rPr>
                <w:rFonts w:ascii="宋体" w:hAnsi="宋体"/>
                <w:sz w:val="24"/>
              </w:rPr>
            </w:pPr>
            <w:r>
              <w:rPr>
                <w:rFonts w:hint="eastAsia" w:ascii="宋体" w:hAnsi="宋体"/>
                <w:sz w:val="24"/>
              </w:rPr>
              <w:t>4</w:t>
            </w:r>
          </w:p>
        </w:tc>
        <w:tc>
          <w:tcPr>
            <w:tcW w:w="1700" w:type="dxa"/>
            <w:noWrap w:val="0"/>
            <w:vAlign w:val="center"/>
          </w:tcPr>
          <w:p>
            <w:pPr>
              <w:spacing w:line="440" w:lineRule="exact"/>
              <w:rPr>
                <w:rFonts w:ascii="宋体" w:hAnsi="宋体"/>
                <w:sz w:val="24"/>
              </w:rPr>
            </w:pPr>
            <w:r>
              <w:rPr>
                <w:rFonts w:hint="eastAsia" w:ascii="宋体" w:hAnsi="宋体"/>
                <w:sz w:val="24"/>
              </w:rPr>
              <w:t>8口千兆小交换机</w:t>
            </w:r>
          </w:p>
        </w:tc>
        <w:tc>
          <w:tcPr>
            <w:tcW w:w="5579" w:type="dxa"/>
            <w:noWrap w:val="0"/>
            <w:vAlign w:val="center"/>
          </w:tcPr>
          <w:p>
            <w:pPr>
              <w:spacing w:line="440" w:lineRule="exact"/>
              <w:rPr>
                <w:rFonts w:ascii="宋体" w:hAnsi="宋体"/>
                <w:sz w:val="24"/>
              </w:rPr>
            </w:pPr>
            <w:r>
              <w:rPr>
                <w:rFonts w:hint="eastAsia" w:ascii="宋体" w:hAnsi="宋体"/>
                <w:sz w:val="24"/>
              </w:rPr>
              <w:t>8口千兆交换机，推荐华为</w:t>
            </w:r>
            <w:r>
              <w:rPr>
                <w:rFonts w:hint="eastAsia" w:ascii="宋体" w:hAnsi="宋体"/>
                <w:sz w:val="24"/>
                <w:lang w:eastAsia="zh-CN"/>
              </w:rPr>
              <w:t>、</w:t>
            </w:r>
            <w:r>
              <w:rPr>
                <w:rFonts w:hint="eastAsia" w:ascii="宋体" w:hAnsi="宋体"/>
                <w:sz w:val="24"/>
              </w:rPr>
              <w:t>华三</w:t>
            </w:r>
            <w:r>
              <w:rPr>
                <w:rFonts w:hint="eastAsia" w:ascii="宋体" w:hAnsi="宋体"/>
                <w:sz w:val="24"/>
                <w:lang w:eastAsia="zh-CN"/>
              </w:rPr>
              <w:t>、锐捷、</w:t>
            </w:r>
            <w:r>
              <w:rPr>
                <w:rFonts w:hint="eastAsia" w:ascii="宋体" w:hAnsi="宋体"/>
                <w:sz w:val="24"/>
              </w:rPr>
              <w:t>tplink等一线品牌</w:t>
            </w:r>
          </w:p>
        </w:tc>
        <w:tc>
          <w:tcPr>
            <w:tcW w:w="850" w:type="dxa"/>
            <w:noWrap w:val="0"/>
            <w:vAlign w:val="center"/>
          </w:tcPr>
          <w:p>
            <w:pPr>
              <w:spacing w:line="440" w:lineRule="exact"/>
              <w:jc w:val="center"/>
              <w:rPr>
                <w:rFonts w:ascii="宋体" w:hAnsi="宋体"/>
                <w:sz w:val="24"/>
              </w:rPr>
            </w:pPr>
            <w:r>
              <w:rPr>
                <w:rFonts w:hint="eastAsia" w:ascii="宋体" w:hAnsi="宋体"/>
                <w:sz w:val="24"/>
              </w:rPr>
              <w:t>台</w:t>
            </w:r>
          </w:p>
        </w:tc>
        <w:tc>
          <w:tcPr>
            <w:tcW w:w="832" w:type="dxa"/>
            <w:noWrap w:val="0"/>
            <w:vAlign w:val="center"/>
          </w:tcPr>
          <w:p>
            <w:pPr>
              <w:spacing w:line="440" w:lineRule="exact"/>
              <w:jc w:val="center"/>
              <w:rPr>
                <w:rFonts w:ascii="宋体" w:hAnsi="宋体"/>
                <w:sz w:val="24"/>
              </w:rPr>
            </w:pPr>
            <w:r>
              <w:rPr>
                <w:rFonts w:hint="eastAsia" w:ascii="宋体" w:hAnsi="宋体"/>
                <w:sz w:val="24"/>
              </w:rPr>
              <w:t>154</w:t>
            </w:r>
          </w:p>
        </w:tc>
      </w:tr>
    </w:tbl>
    <w:p>
      <w:pPr>
        <w:spacing w:line="360" w:lineRule="auto"/>
        <w:rPr>
          <w:rFonts w:ascii="宋体" w:hAnsi="宋体"/>
          <w:b/>
          <w:bCs/>
          <w:sz w:val="24"/>
        </w:rPr>
      </w:pPr>
    </w:p>
    <w:p>
      <w:pPr>
        <w:spacing w:line="360" w:lineRule="auto"/>
        <w:rPr>
          <w:rFonts w:ascii="宋体" w:hAnsi="宋体"/>
          <w:b/>
          <w:sz w:val="24"/>
        </w:rPr>
      </w:pPr>
      <w:r>
        <w:rPr>
          <w:rFonts w:hint="eastAsia" w:ascii="宋体" w:hAnsi="宋体"/>
          <w:b/>
          <w:sz w:val="24"/>
        </w:rPr>
        <w:t>（二）参数需求：</w:t>
      </w:r>
    </w:p>
    <w:p>
      <w:pPr>
        <w:spacing w:line="360" w:lineRule="auto"/>
        <w:rPr>
          <w:rFonts w:ascii="宋体" w:hAnsi="宋体"/>
          <w:b/>
          <w:bCs/>
          <w:sz w:val="24"/>
        </w:rPr>
      </w:pPr>
      <w:r>
        <w:rPr>
          <w:rFonts w:hint="eastAsia" w:ascii="宋体" w:hAnsi="宋体"/>
          <w:b/>
          <w:bCs/>
          <w:sz w:val="24"/>
        </w:rPr>
        <w:t>1.概述：</w:t>
      </w:r>
    </w:p>
    <w:p>
      <w:pPr>
        <w:spacing w:line="360" w:lineRule="auto"/>
        <w:ind w:firstLine="437"/>
        <w:rPr>
          <w:rFonts w:ascii="宋体" w:hAnsi="宋体"/>
          <w:sz w:val="24"/>
        </w:rPr>
      </w:pPr>
      <w:r>
        <w:rPr>
          <w:rFonts w:hint="eastAsia" w:ascii="宋体" w:hAnsi="宋体"/>
          <w:sz w:val="24"/>
        </w:rPr>
        <w:t>为了证明产品的成熟、稳定、可靠，要求投标的网络设备必须在市场上有两年以上应用成功案例，并要求提供此案例和相应的用户使用报告；要求交换机交换产品在安徽地区高校校园网有两年以上的大规模应用成功案例。</w:t>
      </w:r>
    </w:p>
    <w:p>
      <w:pPr>
        <w:spacing w:line="360" w:lineRule="auto"/>
        <w:ind w:firstLine="437"/>
        <w:rPr>
          <w:rFonts w:ascii="宋体" w:hAnsi="宋体"/>
          <w:sz w:val="24"/>
        </w:rPr>
      </w:pPr>
      <w:r>
        <w:rPr>
          <w:rFonts w:hint="eastAsia" w:ascii="宋体" w:hAnsi="宋体"/>
          <w:sz w:val="24"/>
        </w:rPr>
        <w:t>本次设备中的交换机选择范围为：华为、华三或同等品牌，所有主机及配件必须为厂商原装，以便与原校园网更好的融合。六类双绞线选择范围为：普天天纪、爱谱华顿、一舟等国内知名品牌。</w:t>
      </w:r>
    </w:p>
    <w:p>
      <w:pPr>
        <w:spacing w:line="360" w:lineRule="auto"/>
        <w:rPr>
          <w:rFonts w:ascii="宋体" w:hAnsi="宋体"/>
          <w:b/>
          <w:bCs/>
          <w:sz w:val="24"/>
        </w:rPr>
      </w:pPr>
      <w:r>
        <w:rPr>
          <w:rFonts w:hint="eastAsia" w:ascii="宋体" w:hAnsi="宋体"/>
          <w:b/>
          <w:bCs/>
          <w:sz w:val="24"/>
        </w:rPr>
        <w:t>2.汇聚交换机参数需求：</w:t>
      </w:r>
    </w:p>
    <w:p>
      <w:pPr>
        <w:tabs>
          <w:tab w:val="left" w:pos="720"/>
        </w:tabs>
        <w:spacing w:line="360" w:lineRule="auto"/>
        <w:ind w:firstLine="480" w:firstLineChars="200"/>
        <w:rPr>
          <w:rFonts w:ascii="宋体" w:hAnsi="宋体"/>
          <w:sz w:val="24"/>
        </w:rPr>
      </w:pPr>
      <w:r>
        <w:rPr>
          <w:rFonts w:hint="eastAsia" w:ascii="宋体" w:hAnsi="宋体"/>
          <w:sz w:val="24"/>
        </w:rPr>
        <w:t>1、盒式交换机，万兆端口≥2个，提供千兆以太网光口数≥28个，扩展插槽数≥1个，可扩展2端口万兆或2端口40G；</w:t>
      </w:r>
    </w:p>
    <w:p>
      <w:pPr>
        <w:tabs>
          <w:tab w:val="left" w:pos="720"/>
        </w:tabs>
        <w:spacing w:line="360" w:lineRule="auto"/>
        <w:ind w:firstLine="480" w:firstLineChars="200"/>
        <w:rPr>
          <w:rFonts w:ascii="宋体" w:hAnsi="宋体"/>
          <w:sz w:val="24"/>
        </w:rPr>
      </w:pPr>
      <w:r>
        <w:rPr>
          <w:rFonts w:hint="eastAsia" w:ascii="宋体" w:hAnsi="宋体"/>
          <w:sz w:val="24"/>
        </w:rPr>
        <w:t xml:space="preserve">2、交换容量≥256Gbps，包转发率≥192Mpps； </w:t>
      </w:r>
    </w:p>
    <w:p>
      <w:pPr>
        <w:tabs>
          <w:tab w:val="left" w:pos="720"/>
        </w:tabs>
        <w:spacing w:line="360" w:lineRule="auto"/>
        <w:ind w:firstLine="480" w:firstLineChars="200"/>
        <w:rPr>
          <w:rFonts w:ascii="宋体" w:hAnsi="宋体"/>
          <w:sz w:val="24"/>
        </w:rPr>
      </w:pPr>
      <w:r>
        <w:rPr>
          <w:rFonts w:hint="eastAsia" w:ascii="宋体" w:hAnsi="宋体"/>
          <w:sz w:val="24"/>
        </w:rPr>
        <w:t>3、无需额外升级软件，可支持RIP、OSPF、BGP、BGP4+、OSPFv3等动态路由,支持IPv4和IPv6路由功能；</w:t>
      </w:r>
    </w:p>
    <w:p>
      <w:pPr>
        <w:tabs>
          <w:tab w:val="left" w:pos="720"/>
        </w:tabs>
        <w:spacing w:line="360" w:lineRule="auto"/>
        <w:ind w:firstLine="480" w:firstLineChars="200"/>
        <w:rPr>
          <w:rFonts w:ascii="宋体" w:hAnsi="宋体"/>
          <w:sz w:val="24"/>
        </w:rPr>
      </w:pPr>
      <w:r>
        <w:rPr>
          <w:rFonts w:hint="eastAsia" w:ascii="宋体" w:hAnsi="宋体"/>
          <w:sz w:val="24"/>
        </w:rPr>
        <w:t>4、支持策略路由，支持VRRP/VRRPv3；</w:t>
      </w:r>
    </w:p>
    <w:p>
      <w:pPr>
        <w:tabs>
          <w:tab w:val="left" w:pos="720"/>
        </w:tabs>
        <w:spacing w:line="360" w:lineRule="auto"/>
        <w:ind w:firstLine="480" w:firstLineChars="200"/>
        <w:rPr>
          <w:rFonts w:ascii="宋体" w:hAnsi="宋体"/>
          <w:sz w:val="24"/>
        </w:rPr>
      </w:pPr>
      <w:r>
        <w:rPr>
          <w:rFonts w:hint="eastAsia" w:ascii="宋体" w:hAnsi="宋体"/>
          <w:sz w:val="24"/>
        </w:rPr>
        <w:t>5、支持SNMP V1/V2/V3，SSHv2等管理方式；</w:t>
      </w:r>
    </w:p>
    <w:p>
      <w:pPr>
        <w:tabs>
          <w:tab w:val="left" w:pos="720"/>
        </w:tabs>
        <w:spacing w:line="360" w:lineRule="auto"/>
        <w:ind w:firstLine="480" w:firstLineChars="200"/>
        <w:rPr>
          <w:rFonts w:ascii="宋体" w:hAnsi="宋体"/>
          <w:sz w:val="24"/>
        </w:rPr>
      </w:pPr>
      <w:r>
        <w:rPr>
          <w:rFonts w:hint="eastAsia" w:ascii="宋体" w:hAnsi="宋体"/>
          <w:sz w:val="24"/>
        </w:rPr>
        <w:t>6、</w:t>
      </w:r>
      <w:r>
        <w:rPr>
          <w:rFonts w:hint="eastAsia" w:ascii="宋体" w:hAnsi="宋体"/>
          <w:sz w:val="24"/>
          <w:u w:val="single"/>
        </w:rPr>
        <w:t>报价中，每台设备包含同品牌万兆单模光纤模块4只</w:t>
      </w:r>
      <w:r>
        <w:rPr>
          <w:rFonts w:hint="eastAsia" w:ascii="宋体" w:hAnsi="宋体"/>
          <w:sz w:val="24"/>
        </w:rPr>
        <w:t>；</w:t>
      </w:r>
    </w:p>
    <w:p>
      <w:pPr>
        <w:tabs>
          <w:tab w:val="left" w:pos="720"/>
        </w:tabs>
        <w:spacing w:line="360" w:lineRule="auto"/>
        <w:ind w:firstLine="480" w:firstLineChars="200"/>
        <w:rPr>
          <w:rFonts w:ascii="宋体" w:hAnsi="宋体"/>
          <w:sz w:val="24"/>
        </w:rPr>
      </w:pPr>
      <w:r>
        <w:rPr>
          <w:rFonts w:hint="eastAsia" w:ascii="宋体" w:hAnsi="宋体"/>
          <w:sz w:val="24"/>
        </w:rPr>
        <w:t>7、提供该设备工信部入网许可证；</w:t>
      </w:r>
    </w:p>
    <w:p>
      <w:pPr>
        <w:tabs>
          <w:tab w:val="left" w:pos="720"/>
        </w:tabs>
        <w:spacing w:line="360" w:lineRule="auto"/>
        <w:ind w:firstLine="480" w:firstLineChars="200"/>
        <w:rPr>
          <w:rFonts w:ascii="宋体" w:hAnsi="宋体"/>
          <w:sz w:val="24"/>
        </w:rPr>
      </w:pPr>
      <w:r>
        <w:rPr>
          <w:rFonts w:hint="eastAsia" w:ascii="宋体" w:hAnsi="宋体"/>
          <w:sz w:val="24"/>
        </w:rPr>
        <w:t>8、提供原厂商三年售后服务承诺函；</w:t>
      </w:r>
    </w:p>
    <w:p>
      <w:pPr>
        <w:tabs>
          <w:tab w:val="left" w:pos="720"/>
        </w:tabs>
        <w:spacing w:line="360" w:lineRule="auto"/>
        <w:ind w:firstLine="480" w:firstLineChars="200"/>
        <w:rPr>
          <w:rFonts w:ascii="宋体" w:hAnsi="宋体"/>
          <w:sz w:val="24"/>
        </w:rPr>
      </w:pPr>
      <w:r>
        <w:rPr>
          <w:rFonts w:hint="eastAsia" w:ascii="宋体" w:hAnsi="宋体"/>
          <w:sz w:val="24"/>
        </w:rPr>
        <w:t>9、为确保网络系统的稳定性和兼容性，所有交换机应当为同一品牌；</w:t>
      </w:r>
    </w:p>
    <w:p>
      <w:pPr>
        <w:spacing w:line="360" w:lineRule="auto"/>
        <w:rPr>
          <w:rFonts w:ascii="宋体" w:hAnsi="宋体"/>
          <w:b/>
          <w:bCs/>
          <w:sz w:val="24"/>
        </w:rPr>
      </w:pPr>
      <w:r>
        <w:rPr>
          <w:rFonts w:hint="eastAsia" w:ascii="宋体" w:hAnsi="宋体"/>
          <w:b/>
          <w:bCs/>
          <w:sz w:val="24"/>
        </w:rPr>
        <w:t>2.接入交换机参数需求：</w:t>
      </w:r>
    </w:p>
    <w:p>
      <w:pPr>
        <w:tabs>
          <w:tab w:val="left" w:pos="720"/>
        </w:tabs>
        <w:spacing w:line="360" w:lineRule="auto"/>
        <w:ind w:firstLine="480" w:firstLineChars="200"/>
        <w:rPr>
          <w:rFonts w:ascii="宋体" w:hAnsi="宋体"/>
          <w:sz w:val="24"/>
        </w:rPr>
      </w:pPr>
      <w:r>
        <w:rPr>
          <w:rFonts w:hint="eastAsia" w:ascii="宋体" w:hAnsi="宋体"/>
          <w:sz w:val="24"/>
        </w:rPr>
        <w:t>1、盒式交换机，提供固化千兆电口数≥48个，独立的千兆SFP端口≥4个；</w:t>
      </w:r>
    </w:p>
    <w:p>
      <w:pPr>
        <w:tabs>
          <w:tab w:val="left" w:pos="720"/>
        </w:tabs>
        <w:spacing w:line="360" w:lineRule="auto"/>
        <w:ind w:firstLine="480" w:firstLineChars="200"/>
        <w:rPr>
          <w:rFonts w:ascii="宋体" w:hAnsi="宋体"/>
          <w:sz w:val="24"/>
        </w:rPr>
      </w:pPr>
      <w:r>
        <w:rPr>
          <w:rFonts w:hint="eastAsia" w:ascii="宋体" w:hAnsi="宋体"/>
          <w:sz w:val="24"/>
        </w:rPr>
        <w:t>2、交换容量≥256Gbps，包转发速率≥87Mpps；</w:t>
      </w:r>
    </w:p>
    <w:p>
      <w:pPr>
        <w:tabs>
          <w:tab w:val="left" w:pos="720"/>
        </w:tabs>
        <w:spacing w:line="360" w:lineRule="auto"/>
        <w:ind w:firstLine="480" w:firstLineChars="200"/>
        <w:rPr>
          <w:rFonts w:ascii="宋体" w:hAnsi="宋体"/>
          <w:sz w:val="24"/>
        </w:rPr>
      </w:pPr>
      <w:r>
        <w:rPr>
          <w:rFonts w:hint="eastAsia" w:ascii="宋体" w:hAnsi="宋体"/>
          <w:sz w:val="24"/>
        </w:rPr>
        <w:t>3、无需额外升级软件，支持Ipv4和Ipv6路由功能，支持RIP路由协议；</w:t>
      </w:r>
    </w:p>
    <w:p>
      <w:pPr>
        <w:tabs>
          <w:tab w:val="left" w:pos="720"/>
        </w:tabs>
        <w:spacing w:line="360" w:lineRule="auto"/>
        <w:ind w:firstLine="480" w:firstLineChars="200"/>
        <w:rPr>
          <w:rFonts w:ascii="宋体" w:hAnsi="宋体"/>
          <w:sz w:val="24"/>
        </w:rPr>
      </w:pPr>
      <w:r>
        <w:rPr>
          <w:rFonts w:hint="eastAsia" w:ascii="宋体" w:hAnsi="宋体"/>
          <w:sz w:val="24"/>
        </w:rPr>
        <w:t>4、支持基于端口的VLAN≥4K，支持基于端口、VLAN下发ACL，支持Guest VLAN；</w:t>
      </w:r>
    </w:p>
    <w:p>
      <w:pPr>
        <w:tabs>
          <w:tab w:val="left" w:pos="720"/>
        </w:tabs>
        <w:spacing w:line="360" w:lineRule="auto"/>
        <w:ind w:firstLine="480" w:firstLineChars="200"/>
        <w:rPr>
          <w:rFonts w:ascii="宋体" w:hAnsi="宋体"/>
          <w:sz w:val="24"/>
        </w:rPr>
      </w:pPr>
      <w:r>
        <w:rPr>
          <w:rFonts w:hint="eastAsia" w:ascii="宋体" w:hAnsi="宋体"/>
          <w:sz w:val="24"/>
        </w:rPr>
        <w:t xml:space="preserve">5、支持802.1X认证； </w:t>
      </w:r>
    </w:p>
    <w:p>
      <w:pPr>
        <w:tabs>
          <w:tab w:val="left" w:pos="720"/>
        </w:tabs>
        <w:spacing w:line="360" w:lineRule="auto"/>
        <w:ind w:firstLine="480" w:firstLineChars="200"/>
        <w:rPr>
          <w:rFonts w:ascii="宋体" w:hAnsi="宋体"/>
          <w:sz w:val="24"/>
        </w:rPr>
      </w:pPr>
      <w:r>
        <w:rPr>
          <w:rFonts w:hint="eastAsia" w:ascii="宋体" w:hAnsi="宋体"/>
          <w:sz w:val="24"/>
        </w:rPr>
        <w:t>6、支持端口隔离、ARP入侵检测功能、IP+MAC+端口+VLAN的绑定；</w:t>
      </w:r>
    </w:p>
    <w:p>
      <w:pPr>
        <w:tabs>
          <w:tab w:val="left" w:pos="720"/>
        </w:tabs>
        <w:spacing w:line="360" w:lineRule="auto"/>
        <w:ind w:firstLine="480" w:firstLineChars="200"/>
        <w:rPr>
          <w:rFonts w:ascii="宋体" w:hAnsi="宋体"/>
          <w:sz w:val="24"/>
        </w:rPr>
      </w:pPr>
      <w:r>
        <w:rPr>
          <w:rFonts w:hint="eastAsia" w:ascii="宋体" w:hAnsi="宋体"/>
          <w:sz w:val="24"/>
        </w:rPr>
        <w:t>7、支持SNMP V1/V2/V3，SSHv2等管理方式；</w:t>
      </w:r>
    </w:p>
    <w:p>
      <w:pPr>
        <w:tabs>
          <w:tab w:val="left" w:pos="720"/>
        </w:tabs>
        <w:spacing w:line="360" w:lineRule="auto"/>
        <w:ind w:firstLine="480" w:firstLineChars="200"/>
        <w:rPr>
          <w:rFonts w:ascii="宋体" w:hAnsi="宋体"/>
          <w:sz w:val="24"/>
        </w:rPr>
      </w:pPr>
      <w:r>
        <w:rPr>
          <w:rFonts w:hint="eastAsia" w:ascii="宋体" w:hAnsi="宋体"/>
          <w:sz w:val="24"/>
        </w:rPr>
        <w:t>8、提供工信部入网许可证进行证明；</w:t>
      </w:r>
    </w:p>
    <w:p>
      <w:pPr>
        <w:tabs>
          <w:tab w:val="left" w:pos="720"/>
        </w:tabs>
        <w:spacing w:line="360" w:lineRule="auto"/>
        <w:ind w:firstLine="480" w:firstLineChars="200"/>
        <w:rPr>
          <w:rFonts w:ascii="宋体" w:hAnsi="宋体"/>
          <w:sz w:val="24"/>
        </w:rPr>
      </w:pPr>
      <w:r>
        <w:rPr>
          <w:rFonts w:hint="eastAsia" w:ascii="宋体" w:hAnsi="宋体"/>
          <w:sz w:val="24"/>
        </w:rPr>
        <w:t>9、提供原厂商三年售后服务承诺函；</w:t>
      </w:r>
    </w:p>
    <w:p>
      <w:pPr>
        <w:tabs>
          <w:tab w:val="left" w:pos="720"/>
        </w:tabs>
        <w:spacing w:line="360" w:lineRule="auto"/>
        <w:ind w:firstLine="480" w:firstLineChars="200"/>
        <w:rPr>
          <w:rFonts w:ascii="宋体" w:hAnsi="宋体"/>
          <w:sz w:val="24"/>
        </w:rPr>
      </w:pPr>
      <w:r>
        <w:rPr>
          <w:rFonts w:hint="eastAsia" w:ascii="宋体" w:hAnsi="宋体"/>
          <w:sz w:val="24"/>
        </w:rPr>
        <w:t>10、为确保网络系统的稳定性和兼容性，所有交换机应为同一品牌；</w:t>
      </w:r>
    </w:p>
    <w:p>
      <w:pPr>
        <w:tabs>
          <w:tab w:val="left" w:pos="720"/>
        </w:tabs>
        <w:spacing w:line="360" w:lineRule="auto"/>
        <w:ind w:firstLine="480" w:firstLineChars="200"/>
        <w:rPr>
          <w:rFonts w:ascii="宋体" w:hAnsi="宋体"/>
          <w:sz w:val="24"/>
        </w:rPr>
      </w:pPr>
      <w:r>
        <w:rPr>
          <w:rFonts w:hint="eastAsia" w:ascii="宋体" w:hAnsi="宋体"/>
          <w:sz w:val="24"/>
        </w:rPr>
        <w:t>11、</w:t>
      </w:r>
      <w:r>
        <w:rPr>
          <w:rFonts w:hint="eastAsia" w:ascii="宋体" w:hAnsi="宋体"/>
          <w:sz w:val="24"/>
          <w:u w:val="single"/>
        </w:rPr>
        <w:t>报价中，每台设备包含同品牌千兆多模光纤模块4只</w:t>
      </w:r>
      <w:r>
        <w:rPr>
          <w:rFonts w:hint="eastAsia" w:ascii="宋体" w:hAnsi="宋体"/>
          <w:sz w:val="24"/>
        </w:rPr>
        <w:t>；</w:t>
      </w:r>
    </w:p>
    <w:p>
      <w:pPr>
        <w:spacing w:line="360" w:lineRule="auto"/>
        <w:rPr>
          <w:rFonts w:ascii="宋体" w:hAnsi="宋体"/>
          <w:b/>
          <w:bCs/>
          <w:sz w:val="24"/>
        </w:rPr>
      </w:pPr>
      <w:r>
        <w:rPr>
          <w:rFonts w:hint="eastAsia" w:ascii="宋体" w:hAnsi="宋体"/>
          <w:b/>
          <w:bCs/>
          <w:sz w:val="24"/>
        </w:rPr>
        <w:t>三.综合布线需求</w:t>
      </w:r>
    </w:p>
    <w:p>
      <w:pPr>
        <w:spacing w:before="157" w:beforeLines="50" w:after="157" w:afterLines="50" w:line="360" w:lineRule="auto"/>
        <w:jc w:val="both"/>
        <w:rPr>
          <w:rFonts w:hint="eastAsia" w:ascii="宋体" w:hAnsi="宋体" w:eastAsia="宋体" w:cs="宋体"/>
          <w:b/>
          <w:bCs/>
          <w:color w:val="000000"/>
          <w:sz w:val="30"/>
          <w:szCs w:val="30"/>
          <w:lang w:val="en-US" w:eastAsia="zh-CN"/>
        </w:rPr>
      </w:pPr>
      <w:r>
        <w:rPr>
          <w:rFonts w:hint="eastAsia" w:ascii="宋体" w:hAnsi="宋体" w:eastAsia="宋体"/>
          <w:b/>
          <w:bCs/>
          <w:sz w:val="24"/>
          <w:lang w:eastAsia="zh-CN"/>
        </w:rPr>
        <w:t>见图纸（详见附件）。</w:t>
      </w:r>
    </w:p>
    <w:p>
      <w:pPr>
        <w:pStyle w:val="2"/>
        <w:rPr>
          <w:rFonts w:hint="eastAsia" w:ascii="宋体" w:hAnsi="宋体" w:eastAsia="宋体" w:cs="宋体"/>
          <w:b/>
          <w:bCs/>
          <w:color w:val="000000"/>
          <w:sz w:val="30"/>
          <w:szCs w:val="30"/>
          <w:lang w:val="en-US" w:eastAsia="zh-CN"/>
        </w:rPr>
      </w:pPr>
    </w:p>
    <w:p>
      <w:pPr>
        <w:pStyle w:val="2"/>
        <w:rPr>
          <w:rFonts w:hint="eastAsia" w:ascii="宋体" w:hAnsi="宋体" w:eastAsia="宋体" w:cs="宋体"/>
          <w:b/>
          <w:bCs/>
          <w:color w:val="000000"/>
          <w:sz w:val="30"/>
          <w:szCs w:val="30"/>
          <w:lang w:val="en-US" w:eastAsia="zh-CN"/>
        </w:rPr>
      </w:pPr>
    </w:p>
    <w:p>
      <w:pPr>
        <w:pStyle w:val="2"/>
        <w:rPr>
          <w:rFonts w:hint="eastAsia" w:ascii="宋体" w:hAnsi="宋体" w:eastAsia="宋体" w:cs="宋体"/>
          <w:b/>
          <w:bCs/>
          <w:color w:val="000000"/>
          <w:sz w:val="30"/>
          <w:szCs w:val="30"/>
          <w:lang w:val="en-US" w:eastAsia="zh-CN"/>
        </w:rPr>
      </w:pPr>
    </w:p>
    <w:p>
      <w:pPr>
        <w:pStyle w:val="2"/>
        <w:rPr>
          <w:rFonts w:hint="eastAsia" w:ascii="宋体" w:hAnsi="宋体" w:eastAsia="宋体" w:cs="宋体"/>
          <w:b/>
          <w:bCs/>
          <w:color w:val="000000"/>
          <w:sz w:val="30"/>
          <w:szCs w:val="30"/>
          <w:lang w:val="en-US" w:eastAsia="zh-CN"/>
        </w:rPr>
      </w:pPr>
    </w:p>
    <w:p>
      <w:pPr>
        <w:pStyle w:val="2"/>
        <w:rPr>
          <w:rFonts w:hint="default" w:ascii="宋体" w:hAnsi="宋体" w:eastAsia="宋体" w:cs="宋体"/>
          <w:b/>
          <w:bCs/>
          <w:color w:val="000000"/>
          <w:sz w:val="30"/>
          <w:szCs w:val="30"/>
          <w:lang w:val="en-US" w:eastAsia="zh-CN"/>
        </w:rPr>
      </w:pPr>
    </w:p>
    <w:p>
      <w:pPr>
        <w:pStyle w:val="2"/>
        <w:rPr>
          <w:rFonts w:hint="default" w:ascii="宋体" w:hAnsi="宋体" w:eastAsia="宋体" w:cs="宋体"/>
          <w:b/>
          <w:bCs/>
          <w:color w:val="000000"/>
          <w:sz w:val="30"/>
          <w:szCs w:val="30"/>
          <w:lang w:val="en-US" w:eastAsia="zh-CN"/>
        </w:rPr>
      </w:pPr>
    </w:p>
    <w:p>
      <w:pPr>
        <w:pStyle w:val="16"/>
        <w:spacing w:beforeAutospacing="0" w:afterAutospacing="0" w:line="360" w:lineRule="auto"/>
        <w:ind w:left="-1" w:leftChars="-1" w:right="275" w:rightChars="131" w:hanging="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pPr>
        <w:pStyle w:val="16"/>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pPr>
        <w:spacing w:line="360" w:lineRule="exact"/>
        <w:ind w:left="-1" w:leftChars="-1" w:right="275" w:rightChars="131" w:hanging="1"/>
        <w:jc w:val="center"/>
        <w:rPr>
          <w:rFonts w:hint="eastAsia" w:ascii="宋体" w:hAnsi="宋体"/>
          <w:b/>
          <w:bCs/>
          <w:color w:val="000000"/>
          <w:sz w:val="32"/>
          <w:szCs w:val="32"/>
          <w:lang w:eastAsia="zh-CN"/>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6"/>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lang w:eastAsia="zh-CN"/>
        </w:rPr>
        <w:t>（联系方式）</w:t>
      </w:r>
      <w:r>
        <w:rPr>
          <w:rFonts w:hint="eastAsia" w:ascii="宋体" w:hAnsi="宋体"/>
          <w:b/>
          <w:bCs/>
          <w:color w:val="000000"/>
          <w:sz w:val="28"/>
          <w:szCs w:val="28"/>
        </w:rPr>
        <w:t>：</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pPr>
        <w:spacing w:line="540" w:lineRule="exact"/>
        <w:ind w:left="-1" w:leftChars="-1" w:right="275" w:rightChars="131" w:hanging="1"/>
        <w:rPr>
          <w:rFonts w:hint="eastAsia" w:ascii="宋体" w:hAnsi="宋体"/>
          <w:color w:val="000000"/>
          <w:sz w:val="24"/>
        </w:rPr>
      </w:pPr>
    </w:p>
    <w:p>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left="-1" w:leftChars="-1" w:right="275" w:rightChars="131" w:hanging="1"/>
        <w:jc w:val="right"/>
        <w:rPr>
          <w:rFonts w:hint="eastAsia" w:ascii="宋体" w:hAnsi="宋体"/>
          <w:color w:val="000000"/>
          <w:sz w:val="24"/>
        </w:rPr>
      </w:pPr>
    </w:p>
    <w:p>
      <w:pPr>
        <w:spacing w:line="360" w:lineRule="auto"/>
        <w:ind w:left="-1" w:leftChars="-1" w:right="275" w:rightChars="131" w:hanging="1"/>
        <w:jc w:val="right"/>
        <w:rPr>
          <w:rFonts w:hint="eastAsia" w:ascii="宋体" w:hAnsi="宋体"/>
          <w:b/>
          <w:color w:val="000000"/>
          <w:sz w:val="24"/>
        </w:rPr>
      </w:pPr>
    </w:p>
    <w:p>
      <w:pPr>
        <w:spacing w:line="360" w:lineRule="auto"/>
        <w:ind w:left="-1" w:leftChars="-1" w:right="275" w:rightChars="131" w:hanging="1"/>
        <w:jc w:val="center"/>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numPr>
          <w:ilvl w:val="0"/>
          <w:numId w:val="0"/>
        </w:numPr>
        <w:spacing w:line="360" w:lineRule="auto"/>
        <w:ind w:leftChars="0" w:right="275" w:rightChars="131"/>
        <w:jc w:val="center"/>
        <w:rPr>
          <w:rFonts w:hint="eastAsia" w:ascii="宋体" w:hAnsi="宋体"/>
          <w:b/>
          <w:bCs/>
          <w:color w:val="000000"/>
          <w:sz w:val="32"/>
          <w:szCs w:val="32"/>
          <w:lang w:eastAsia="zh-CN"/>
        </w:rPr>
      </w:pPr>
    </w:p>
    <w:p>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 xml:space="preserve">                       </w:t>
      </w:r>
      <w:r>
        <w:rPr>
          <w:rFonts w:hint="eastAsia" w:ascii="宋体" w:hAnsi="宋体"/>
          <w:color w:val="000000"/>
          <w:sz w:val="24"/>
          <w:u w:val="single"/>
          <w:lang w:eastAsia="zh-CN"/>
        </w:rPr>
        <w:t>：</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pPr>
        <w:spacing w:line="480" w:lineRule="atLeast"/>
        <w:ind w:left="-1" w:leftChars="-1" w:right="275" w:rightChars="131" w:hanging="1"/>
        <w:jc w:val="center"/>
        <w:rPr>
          <w:rFonts w:hint="default" w:ascii="宋体" w:hAnsi="宋体" w:eastAsia="宋体" w:cs="宋体"/>
          <w:b/>
          <w:bCs/>
          <w:color w:val="000000"/>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p>
    <w:p>
      <w:pPr>
        <w:numPr>
          <w:ilvl w:val="0"/>
          <w:numId w:val="2"/>
        </w:numPr>
        <w:spacing w:line="360" w:lineRule="auto"/>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投标报价</w:t>
      </w:r>
    </w:p>
    <w:p>
      <w:pPr>
        <w:adjustRightInd w:val="0"/>
        <w:snapToGrid w:val="0"/>
        <w:spacing w:before="62" w:beforeLines="20" w:after="62" w:afterLines="20" w:line="540" w:lineRule="exact"/>
        <w:ind w:left="-2" w:leftChars="-1" w:firstLine="361"/>
        <w:rPr>
          <w:rFonts w:hint="eastAsia" w:ascii="宋体" w:hAnsi="宋体" w:eastAsia="宋体" w:cs="宋体"/>
          <w:bCs/>
          <w:color w:val="auto"/>
          <w:sz w:val="24"/>
          <w:szCs w:val="24"/>
          <w:highlight w:val="none"/>
        </w:rPr>
      </w:pPr>
      <w:r>
        <w:rPr>
          <w:rFonts w:hint="eastAsia" w:ascii="宋体" w:hAnsi="宋体"/>
          <w:bCs/>
          <w:color w:val="auto"/>
          <w:sz w:val="24"/>
          <w:szCs w:val="24"/>
          <w:highlight w:val="none"/>
        </w:rPr>
        <w:t>投标单位:</w:t>
      </w:r>
      <w:r>
        <w:rPr>
          <w:rFonts w:hint="eastAsia" w:ascii="宋体" w:hAnsi="宋体" w:eastAsia="宋体" w:cs="宋体"/>
          <w:bCs/>
          <w:color w:val="auto"/>
          <w:sz w:val="24"/>
          <w:szCs w:val="24"/>
          <w:highlight w:val="none"/>
        </w:rPr>
        <w:t>_________________</w:t>
      </w:r>
      <w:r>
        <w:rPr>
          <w:rFonts w:hint="eastAsia" w:ascii="宋体" w:hAnsi="宋体"/>
          <w:bCs/>
          <w:color w:val="auto"/>
          <w:sz w:val="24"/>
          <w:szCs w:val="24"/>
          <w:highlight w:val="none"/>
        </w:rPr>
        <w:t xml:space="preserve">        项目名称：</w:t>
      </w:r>
      <w:r>
        <w:rPr>
          <w:rFonts w:hint="eastAsia" w:ascii="宋体" w:hAnsi="宋体" w:eastAsia="宋体" w:cs="宋体"/>
          <w:bCs/>
          <w:color w:val="auto"/>
          <w:sz w:val="24"/>
          <w:szCs w:val="24"/>
          <w:highlight w:val="none"/>
        </w:rPr>
        <w:t>_________________</w:t>
      </w:r>
    </w:p>
    <w:p>
      <w:pPr>
        <w:pStyle w:val="6"/>
        <w:rPr>
          <w:rFonts w:hint="eastAsia"/>
          <w:color w:val="auto"/>
          <w:sz w:val="24"/>
          <w:szCs w:val="24"/>
        </w:rPr>
      </w:pPr>
    </w:p>
    <w:tbl>
      <w:tblPr>
        <w:tblStyle w:val="13"/>
        <w:tblW w:w="10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7"/>
        <w:gridCol w:w="1866"/>
        <w:gridCol w:w="1067"/>
        <w:gridCol w:w="1400"/>
        <w:gridCol w:w="800"/>
        <w:gridCol w:w="835"/>
        <w:gridCol w:w="1080"/>
        <w:gridCol w:w="1080"/>
        <w:gridCol w:w="21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80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8号公寓楼（4人/间）网络布线材料清单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8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0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投标品牌</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投标规格、型号</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8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c>
          <w:tcPr>
            <w:tcW w:w="21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六类非屏蔽双绞线</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依据现场和图纸，包工包料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六类模块(网络)</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单口信息面板</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依据现场和图纸，包工包料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六类非屏蔽水晶头 (RJ45)</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24口六类非屏蔽配线架</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（含模块）</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1U理线架</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网络跳线</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根/2米</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机柜</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汇聚交换机</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48口接入交换机</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单模光纤跳线</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多模光纤跳线</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依据现场和图纸，包工包料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施工费</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该费用包括税费、利润及管理费等费用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596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80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安徽新华学院25#公寓楼综合布线材料清单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8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0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投标品牌</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投标规格、型号</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8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c>
          <w:tcPr>
            <w:tcW w:w="21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六类4对非屏蔽双绞线</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依据现场和图纸，包工包料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六类模块(网络)</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单口信息面板</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8口交换机                 </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不锈钢固定罩</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依据现场和图纸，包工包料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六类非屏蔽水晶头 (RJ45)</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多媒体信息箱</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1U理线架</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网络跳线</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根/2米</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24口六类非屏蔽配线架（含模块）</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汇聚交换机</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48口接入交换机</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单模光纤跳线</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多模光纤跳线</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机柜</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依据现场和图纸，包工包料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施工费</w:t>
            </w:r>
          </w:p>
        </w:tc>
        <w:tc>
          <w:tcPr>
            <w:tcW w:w="10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该费用包括税费、利润、管理费、现场清理及成品保护等费用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96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80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总计（8#+25#）：</w:t>
            </w:r>
          </w:p>
        </w:tc>
      </w:tr>
    </w:tbl>
    <w:p>
      <w:pPr>
        <w:pStyle w:val="7"/>
        <w:rPr>
          <w:rFonts w:hint="eastAsia" w:ascii="宋体" w:hAnsi="宋体"/>
          <w:b/>
          <w:color w:val="auto"/>
          <w:sz w:val="32"/>
          <w:szCs w:val="32"/>
          <w:highlight w:val="none"/>
          <w:lang w:eastAsia="zh-CN"/>
        </w:rPr>
      </w:pPr>
      <w:r>
        <w:rPr>
          <w:rFonts w:hint="eastAsia" w:ascii="宋体" w:hAnsi="宋体"/>
          <w:b/>
          <w:color w:val="auto"/>
          <w:sz w:val="32"/>
          <w:szCs w:val="32"/>
          <w:highlight w:val="none"/>
          <w:lang w:eastAsia="zh-CN"/>
        </w:rPr>
        <w:t>注：</w:t>
      </w:r>
    </w:p>
    <w:p>
      <w:pPr>
        <w:pStyle w:val="7"/>
        <w:numPr>
          <w:ilvl w:val="0"/>
          <w:numId w:val="3"/>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报价清单中的单项设备报价应该为市场采购成本价（正常市场销售价），</w:t>
      </w:r>
      <w:r>
        <w:rPr>
          <w:rFonts w:hint="eastAsia" w:ascii="宋体" w:hAnsi="宋体" w:eastAsia="宋体" w:cs="Times New Roman"/>
          <w:bCs/>
          <w:color w:val="auto"/>
          <w:kern w:val="2"/>
          <w:sz w:val="28"/>
          <w:szCs w:val="28"/>
          <w:highlight w:val="none"/>
          <w:u w:val="single"/>
          <w:lang w:val="en-US" w:eastAsia="zh-CN" w:bidi="ar-SA"/>
        </w:rPr>
        <w:t>整个项目的该费用包括税费、利润、管理费、现场清理及成品保护等费用全部分摊到施工费中去</w:t>
      </w:r>
      <w:r>
        <w:rPr>
          <w:rFonts w:hint="eastAsia" w:ascii="宋体" w:hAnsi="宋体" w:eastAsia="宋体" w:cs="Times New Roman"/>
          <w:bCs/>
          <w:color w:val="auto"/>
          <w:kern w:val="2"/>
          <w:sz w:val="28"/>
          <w:szCs w:val="28"/>
          <w:highlight w:val="none"/>
          <w:lang w:val="en-US" w:eastAsia="zh-CN" w:bidi="ar-SA"/>
        </w:rPr>
        <w:t>。</w:t>
      </w:r>
    </w:p>
    <w:p>
      <w:pPr>
        <w:pStyle w:val="7"/>
        <w:numPr>
          <w:ilvl w:val="0"/>
          <w:numId w:val="3"/>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此次工程管线材、辅材采用交钥匙工程（包工包料），因此投标报价不仅限于图纸和清单要求，为保证工程的完整性，投标单位需要自行前往现场</w:t>
      </w:r>
      <w:r>
        <w:rPr>
          <w:rFonts w:hint="eastAsia" w:ascii="宋体" w:hAnsi="宋体" w:eastAsia="宋体" w:cs="Times New Roman"/>
          <w:bCs/>
          <w:color w:val="auto"/>
          <w:kern w:val="2"/>
          <w:sz w:val="28"/>
          <w:szCs w:val="28"/>
          <w:highlight w:val="none"/>
          <w:u w:val="single"/>
          <w:lang w:val="en-US" w:eastAsia="zh-CN" w:bidi="ar-SA"/>
        </w:rPr>
        <w:t>进行实地勘察并进行技术交底，其他项目采用据实结算</w:t>
      </w:r>
      <w:r>
        <w:rPr>
          <w:rFonts w:hint="eastAsia" w:ascii="宋体" w:hAnsi="宋体" w:eastAsia="宋体" w:cs="Times New Roman"/>
          <w:bCs/>
          <w:color w:val="auto"/>
          <w:kern w:val="2"/>
          <w:sz w:val="28"/>
          <w:szCs w:val="28"/>
          <w:highlight w:val="none"/>
          <w:lang w:val="en-US" w:eastAsia="zh-CN" w:bidi="ar-SA"/>
        </w:rPr>
        <w:t>。</w:t>
      </w:r>
    </w:p>
    <w:p>
      <w:pPr>
        <w:pStyle w:val="7"/>
        <w:rPr>
          <w:rFonts w:hint="eastAsia" w:ascii="宋体" w:hAnsi="宋体"/>
          <w:b/>
          <w:color w:val="auto"/>
          <w:sz w:val="32"/>
          <w:szCs w:val="32"/>
          <w:highlight w:val="none"/>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pStyle w:val="2"/>
        <w:rPr>
          <w:rFonts w:hint="eastAsia" w:ascii="宋体" w:hAnsi="宋体"/>
          <w:b/>
          <w:bCs/>
          <w:color w:val="000000"/>
          <w:sz w:val="30"/>
          <w:lang w:val="en-US" w:eastAsia="zh-CN"/>
        </w:rPr>
      </w:pPr>
    </w:p>
    <w:p>
      <w:pPr>
        <w:pStyle w:val="2"/>
        <w:rPr>
          <w:rFonts w:hint="eastAsia" w:ascii="宋体" w:hAnsi="宋体"/>
          <w:b/>
          <w:bCs/>
          <w:color w:val="000000"/>
          <w:sz w:val="30"/>
          <w:lang w:val="en-US" w:eastAsia="zh-CN"/>
        </w:rPr>
      </w:pPr>
    </w:p>
    <w:p>
      <w:pPr>
        <w:pStyle w:val="2"/>
        <w:rPr>
          <w:rFonts w:hint="eastAsia" w:ascii="宋体" w:hAnsi="宋体"/>
          <w:b/>
          <w:bCs/>
          <w:color w:val="000000"/>
          <w:sz w:val="30"/>
          <w:lang w:val="en-US" w:eastAsia="zh-CN"/>
        </w:rPr>
      </w:pPr>
    </w:p>
    <w:p>
      <w:pPr>
        <w:pStyle w:val="2"/>
        <w:rPr>
          <w:rFonts w:hint="eastAsia" w:ascii="宋体" w:hAnsi="宋体"/>
          <w:b/>
          <w:bCs/>
          <w:color w:val="000000"/>
          <w:sz w:val="30"/>
          <w:lang w:val="en-US" w:eastAsia="zh-CN"/>
        </w:rPr>
      </w:pPr>
    </w:p>
    <w:p>
      <w:pPr>
        <w:pStyle w:val="2"/>
        <w:rPr>
          <w:rFonts w:hint="eastAsia" w:ascii="宋体" w:hAnsi="宋体"/>
          <w:b/>
          <w:bCs/>
          <w:color w:val="000000"/>
          <w:sz w:val="30"/>
          <w:lang w:val="en-US" w:eastAsia="zh-CN"/>
        </w:rPr>
      </w:pPr>
    </w:p>
    <w:p>
      <w:pPr>
        <w:pStyle w:val="2"/>
        <w:rPr>
          <w:rFonts w:hint="eastAsia" w:ascii="宋体" w:hAnsi="宋体"/>
          <w:b/>
          <w:bCs/>
          <w:color w:val="000000"/>
          <w:sz w:val="30"/>
          <w:lang w:val="en-US" w:eastAsia="zh-CN"/>
        </w:rPr>
      </w:pPr>
    </w:p>
    <w:p>
      <w:pPr>
        <w:pStyle w:val="2"/>
        <w:rPr>
          <w:rFonts w:hint="eastAsia" w:ascii="宋体" w:hAnsi="宋体"/>
          <w:b/>
          <w:bCs/>
          <w:color w:val="000000"/>
          <w:sz w:val="30"/>
          <w:lang w:val="en-US" w:eastAsia="zh-CN"/>
        </w:rPr>
      </w:pPr>
    </w:p>
    <w:p>
      <w:pPr>
        <w:pStyle w:val="2"/>
        <w:rPr>
          <w:rFonts w:hint="eastAsia" w:ascii="宋体" w:hAnsi="宋体"/>
          <w:b/>
          <w:bCs/>
          <w:color w:val="000000"/>
          <w:sz w:val="30"/>
          <w:lang w:val="en-US" w:eastAsia="zh-CN"/>
        </w:rPr>
      </w:pPr>
    </w:p>
    <w:p>
      <w:pPr>
        <w:pStyle w:val="2"/>
        <w:rPr>
          <w:rFonts w:hint="eastAsia" w:ascii="宋体" w:hAnsi="宋体"/>
          <w:b/>
          <w:bCs/>
          <w:color w:val="000000"/>
          <w:sz w:val="30"/>
          <w:lang w:val="en-US" w:eastAsia="zh-CN"/>
        </w:rPr>
      </w:pPr>
    </w:p>
    <w:p>
      <w:pPr>
        <w:adjustRightInd w:val="0"/>
        <w:snapToGrid w:val="0"/>
        <w:spacing w:before="62" w:beforeLines="20" w:after="62" w:afterLines="20" w:line="540" w:lineRule="exact"/>
        <w:ind w:left="-2" w:leftChars="-1" w:firstLine="3313" w:firstLineChars="1100"/>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（3）本分项报价表中的每一包项均应填写报价，对没有填写单价的项目费用，视为已包括在其他单价或合价之中。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9"/>
        <w:ind w:left="-2" w:leftChars="-1" w:firstLine="2409" w:firstLineChars="800"/>
        <w:rPr>
          <w:rFonts w:hint="eastAsia" w:hAnsi="宋体"/>
          <w:b/>
          <w:smallCaps/>
          <w:color w:val="000000"/>
          <w:sz w:val="30"/>
          <w:szCs w:val="30"/>
        </w:rPr>
      </w:pPr>
      <w:bookmarkStart w:id="0" w:name="_Toc171581377"/>
      <w:bookmarkStart w:id="1" w:name="_Toc171581557"/>
      <w:bookmarkStart w:id="2" w:name="_Toc171742000"/>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pPr>
        <w:pStyle w:val="9"/>
        <w:rPr>
          <w:rFonts w:hint="eastAsia" w:hAnsi="宋体"/>
          <w:b/>
          <w:smallCaps/>
          <w:color w:val="000000"/>
          <w:sz w:val="30"/>
          <w:szCs w:val="30"/>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9"/>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9"/>
              <w:jc w:val="center"/>
              <w:rPr>
                <w:rFonts w:hint="eastAsia" w:hAnsi="宋体"/>
                <w:b/>
                <w:smallCaps/>
                <w:color w:val="000000"/>
                <w:sz w:val="24"/>
              </w:rPr>
            </w:pPr>
          </w:p>
        </w:tc>
        <w:tc>
          <w:tcPr>
            <w:tcW w:w="1455" w:type="dxa"/>
            <w:vMerge w:val="restart"/>
            <w:noWrap w:val="0"/>
            <w:vAlign w:val="center"/>
          </w:tcPr>
          <w:p>
            <w:pPr>
              <w:pStyle w:val="9"/>
              <w:jc w:val="center"/>
              <w:rPr>
                <w:rFonts w:hint="eastAsia" w:hAnsi="宋体" w:eastAsia="宋体"/>
                <w:b/>
                <w:smallCaps/>
                <w:color w:val="000000"/>
                <w:sz w:val="24"/>
                <w:lang w:eastAsia="zh-CN"/>
              </w:rPr>
            </w:pPr>
            <w:r>
              <w:rPr>
                <w:rFonts w:hint="eastAsia" w:hAnsi="宋体"/>
                <w:b/>
                <w:smallCaps/>
                <w:color w:val="000000"/>
                <w:sz w:val="24"/>
              </w:rPr>
              <w:t>施工</w:t>
            </w:r>
            <w:r>
              <w:rPr>
                <w:rFonts w:hint="eastAsia" w:hAnsi="宋体"/>
                <w:b/>
                <w:smallCaps/>
                <w:color w:val="000000"/>
                <w:sz w:val="24"/>
                <w:lang w:eastAsia="zh-CN"/>
              </w:rPr>
              <w:t>人员</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bl>
    <w:p>
      <w:pPr>
        <w:pStyle w:val="9"/>
        <w:ind w:left="-2" w:leftChars="-1"/>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pPr>
        <w:pStyle w:val="5"/>
        <w:ind w:left="-1" w:leftChars="-1" w:hanging="1" w:firstLineChars="0"/>
        <w:rPr>
          <w:rFonts w:hint="eastAsia" w:ascii="宋体" w:hAnsi="宋体"/>
          <w:color w:val="000000"/>
          <w:sz w:val="24"/>
        </w:rPr>
      </w:pPr>
    </w:p>
    <w:p>
      <w:pPr>
        <w:pStyle w:val="5"/>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pPr>
        <w:spacing w:line="360" w:lineRule="auto"/>
        <w:rPr>
          <w:rFonts w:hint="eastAsia" w:ascii="宋体" w:hAnsi="宋体"/>
          <w:color w:val="000000"/>
          <w:sz w:val="24"/>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pStyle w:val="2"/>
        <w:rPr>
          <w:rFonts w:hint="eastAsia" w:ascii="宋体" w:hAnsi="宋体" w:eastAsia="宋体" w:cs="宋体"/>
          <w:b/>
          <w:bCs/>
          <w:color w:val="000000"/>
          <w:sz w:val="28"/>
          <w:szCs w:val="28"/>
          <w:lang w:eastAsia="zh-CN"/>
        </w:rPr>
      </w:pPr>
    </w:p>
    <w:p>
      <w:pPr>
        <w:pStyle w:val="2"/>
        <w:rPr>
          <w:rFonts w:hint="eastAsia" w:ascii="宋体" w:hAnsi="宋体" w:eastAsia="宋体" w:cs="宋体"/>
          <w:b/>
          <w:bCs/>
          <w:color w:val="000000"/>
          <w:sz w:val="28"/>
          <w:szCs w:val="28"/>
          <w:lang w:eastAsia="zh-CN"/>
        </w:rPr>
      </w:pPr>
    </w:p>
    <w:p>
      <w:pPr>
        <w:pStyle w:val="2"/>
        <w:rPr>
          <w:rFonts w:hint="eastAsia" w:ascii="宋体" w:hAnsi="宋体" w:eastAsia="宋体" w:cs="宋体"/>
          <w:b/>
          <w:bCs/>
          <w:color w:val="000000"/>
          <w:sz w:val="28"/>
          <w:szCs w:val="28"/>
          <w:lang w:eastAsia="zh-CN"/>
        </w:rPr>
      </w:pPr>
    </w:p>
    <w:p>
      <w:pPr>
        <w:pStyle w:val="2"/>
        <w:ind w:left="0" w:leftChars="0" w:firstLine="0" w:firstLineChars="0"/>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pPr>
        <w:spacing w:before="240" w:beforeLines="100" w:line="480" w:lineRule="auto"/>
        <w:jc w:val="center"/>
        <w:rPr>
          <w:rFonts w:hint="eastAsia" w:ascii="仿宋" w:hAnsi="仿宋" w:eastAsia="仿宋" w:cs="仿宋"/>
          <w:b/>
          <w:bCs/>
          <w:sz w:val="36"/>
          <w:szCs w:val="36"/>
          <w:lang w:eastAsia="zh-CN"/>
        </w:rPr>
      </w:pPr>
      <w:r>
        <w:rPr>
          <w:rFonts w:hint="eastAsia" w:ascii="仿宋" w:hAnsi="仿宋" w:eastAsia="仿宋" w:cs="仿宋"/>
          <w:b/>
          <w:bCs/>
          <w:sz w:val="36"/>
          <w:szCs w:val="36"/>
        </w:rPr>
        <w:t>保证承诺</w:t>
      </w:r>
      <w:r>
        <w:rPr>
          <w:rFonts w:hint="eastAsia" w:ascii="仿宋" w:hAnsi="仿宋" w:eastAsia="仿宋" w:cs="仿宋"/>
          <w:b/>
          <w:bCs/>
          <w:sz w:val="36"/>
          <w:szCs w:val="36"/>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安徽新华学院</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公司与安徽新华学院就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公司全面履行其在主合同中的各项责任与义务，保证人自愿为其向安徽新华学院提供不可撤销的连带保证责任担保，并向安徽新华学院郑重承诺：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学院应承担的全部责任、义务、债务等，以及安徽新华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是否对被担保债权享有其他担保（包括但不限于保证、抵押、质押等），保证人在本承诺书项下的保证责任均不因此减免。安徽新华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pStyle w:val="17"/>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仿宋_GB2312" w:hAnsi="仿宋" w:eastAsia="仿宋_GB2312" w:cs="仿宋"/>
          <w:sz w:val="28"/>
          <w:szCs w:val="28"/>
        </w:rPr>
      </w:pPr>
      <w:r>
        <w:rPr>
          <w:rFonts w:hint="eastAsia" w:ascii="仿宋_GB2312" w:hAnsi="仿宋" w:eastAsia="仿宋_GB2312" w:cs="仿宋"/>
          <w:sz w:val="28"/>
          <w:szCs w:val="28"/>
          <w:lang w:val="en-US" w:eastAsia="zh-CN"/>
        </w:rPr>
        <w:t xml:space="preserve"> </w:t>
      </w: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_GB2312" w:hAnsi="仿宋" w:eastAsia="仿宋_GB2312" w:cs="仿宋"/>
          <w:sz w:val="28"/>
          <w:szCs w:val="28"/>
        </w:rPr>
      </w:pPr>
      <w:r>
        <w:rPr>
          <w:rFonts w:hint="eastAsia" w:ascii="仿宋_GB2312" w:hAnsi="仿宋" w:eastAsia="仿宋_GB2312" w:cs="仿宋"/>
          <w:sz w:val="28"/>
          <w:szCs w:val="28"/>
        </w:rPr>
        <w:t xml:space="preserve">                                    </w:t>
      </w:r>
      <w:r>
        <w:rPr>
          <w:rFonts w:hint="eastAsia" w:ascii="仿宋_GB2312" w:hAnsi="仿宋" w:eastAsia="仿宋_GB2312" w:cs="仿宋"/>
          <w:sz w:val="28"/>
          <w:szCs w:val="28"/>
          <w:lang w:val="en-US" w:eastAsia="zh-CN"/>
        </w:rPr>
        <w:t xml:space="preserve">   </w:t>
      </w:r>
      <w:bookmarkStart w:id="3" w:name="_GoBack"/>
      <w:bookmarkEnd w:id="3"/>
      <w:r>
        <w:rPr>
          <w:rFonts w:hint="eastAsia" w:ascii="仿宋_GB2312" w:hAnsi="仿宋" w:eastAsia="仿宋_GB2312" w:cs="仿宋"/>
          <w:sz w:val="28"/>
          <w:szCs w:val="28"/>
        </w:rPr>
        <w:t xml:space="preserve">    日期：</w:t>
      </w:r>
    </w:p>
    <w:p>
      <w:pPr>
        <w:pStyle w:val="2"/>
      </w:pPr>
    </w:p>
    <w:p>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eastAsia="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eastAsia="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乙方持</w:t>
      </w:r>
      <w:r>
        <w:rPr>
          <w:rFonts w:hint="eastAsia" w:ascii="宋体" w:hAnsi="宋体" w:eastAsia="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pPr>
        <w:spacing w:line="360" w:lineRule="auto"/>
        <w:jc w:val="left"/>
        <w:rPr>
          <w:rFonts w:hint="eastAsia" w:ascii="仿宋_GB2312" w:hAnsi="仿宋_GB2312" w:eastAsia="仿宋_GB2312" w:cs="仿宋_GB2312"/>
          <w:color w:val="000000"/>
          <w:kern w:val="0"/>
          <w:sz w:val="28"/>
          <w:szCs w:val="28"/>
          <w:shd w:val="clear" w:color="auto" w:fill="FFFFFF"/>
        </w:rPr>
      </w:pPr>
    </w:p>
    <w:p/>
    <w:p>
      <w:pPr>
        <w:spacing w:line="360" w:lineRule="auto"/>
        <w:rPr>
          <w:rFonts w:hint="eastAsia" w:ascii="宋体" w:hAnsi="宋体" w:eastAsia="宋体" w:cs="宋体"/>
          <w:color w:val="00000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5265" w:y="64"/>
      <w:jc w:val="center"/>
      <w:rPr>
        <w:rStyle w:val="15"/>
      </w:rPr>
    </w:pPr>
    <w:r>
      <w:fldChar w:fldCharType="begin"/>
    </w:r>
    <w:r>
      <w:rPr>
        <w:rStyle w:val="15"/>
      </w:rPr>
      <w:instrText xml:space="preserve">PAGE  </w:instrText>
    </w:r>
    <w:r>
      <w:fldChar w:fldCharType="separate"/>
    </w:r>
    <w:r>
      <w:rPr>
        <w:rStyle w:val="15"/>
      </w:rPr>
      <w:t>1</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D8989"/>
    <w:multiLevelType w:val="singleLevel"/>
    <w:tmpl w:val="957D8989"/>
    <w:lvl w:ilvl="0" w:tentative="0">
      <w:start w:val="5"/>
      <w:numFmt w:val="chineseCounting"/>
      <w:suff w:val="nothing"/>
      <w:lvlText w:val="（%1）"/>
      <w:lvlJc w:val="left"/>
      <w:rPr>
        <w:rFonts w:hint="eastAsia"/>
      </w:rPr>
    </w:lvl>
  </w:abstractNum>
  <w:abstractNum w:abstractNumId="1">
    <w:nsid w:val="D092EF04"/>
    <w:multiLevelType w:val="singleLevel"/>
    <w:tmpl w:val="D092EF04"/>
    <w:lvl w:ilvl="0" w:tentative="0">
      <w:start w:val="1"/>
      <w:numFmt w:val="decimal"/>
      <w:suff w:val="nothing"/>
      <w:lvlText w:val="%1、"/>
      <w:lvlJc w:val="left"/>
    </w:lvl>
  </w:abstractNum>
  <w:abstractNum w:abstractNumId="2">
    <w:nsid w:val="00A55AFD"/>
    <w:multiLevelType w:val="multilevel"/>
    <w:tmpl w:val="00A55AF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04183075"/>
    <w:rsid w:val="04183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cs="Arial"/>
    </w:rPr>
  </w:style>
  <w:style w:type="paragraph" w:styleId="5">
    <w:name w:val="Normal Indent"/>
    <w:basedOn w:val="1"/>
    <w:uiPriority w:val="0"/>
    <w:pPr>
      <w:ind w:firstLine="420" w:firstLineChars="200"/>
    </w:pPr>
  </w:style>
  <w:style w:type="paragraph" w:styleId="6">
    <w:name w:val="Body Text"/>
    <w:basedOn w:val="1"/>
    <w:next w:val="7"/>
    <w:uiPriority w:val="0"/>
    <w:pPr>
      <w:spacing w:after="120"/>
    </w:pPr>
  </w:style>
  <w:style w:type="paragraph" w:customStyle="1" w:styleId="7">
    <w:name w:val="Defaul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8">
    <w:name w:val="List 2"/>
    <w:basedOn w:val="1"/>
    <w:qFormat/>
    <w:uiPriority w:val="0"/>
    <w:pPr>
      <w:ind w:left="100" w:leftChars="200" w:hanging="200" w:hangingChars="200"/>
    </w:pPr>
  </w:style>
  <w:style w:type="paragraph" w:styleId="9">
    <w:name w:val="Plain Text"/>
    <w:basedOn w:val="1"/>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itle"/>
    <w:basedOn w:val="1"/>
    <w:next w:val="1"/>
    <w:qFormat/>
    <w:uiPriority w:val="0"/>
    <w:pPr>
      <w:spacing w:before="240" w:after="60"/>
      <w:jc w:val="center"/>
      <w:outlineLvl w:val="0"/>
    </w:pPr>
    <w:rPr>
      <w:rFonts w:ascii="Arial" w:hAnsi="Arial"/>
      <w:b/>
      <w:bCs/>
      <w:sz w:val="32"/>
      <w:szCs w:val="32"/>
    </w:rPr>
  </w:style>
  <w:style w:type="character" w:styleId="15">
    <w:name w:val="page number"/>
    <w:basedOn w:val="14"/>
    <w:qFormat/>
    <w:uiPriority w:val="0"/>
  </w:style>
  <w:style w:type="paragraph" w:customStyle="1" w:styleId="16">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2023-03-20T09:10:00Z</dcterms:created>
  <dc:creator>千里草1403852088</dc:creator>
  <cp:lastModifiedBy>千里草1403852088</cp:lastModifiedBy>
  <dcterms:modified xsi:type="dcterms:W3CDTF">2023-03-20T09:11:10Z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588A41DDF02047CAA65ABB995519CAB9</vt:lpwstr>
  </property>
</Properties>
</file>