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pStyle w:val="2"/>
        <w:jc w:val="center"/>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技术参数响应表</w:t>
      </w:r>
    </w:p>
    <w:p>
      <w:pPr>
        <w:spacing w:before="157" w:beforeLines="50" w:after="157" w:afterLines="50" w:line="360" w:lineRule="auto"/>
        <w:jc w:val="both"/>
        <w:rPr>
          <w:rFonts w:hint="eastAsia" w:ascii="宋体" w:hAnsi="宋体" w:eastAsia="宋体" w:cs="宋体"/>
          <w:b/>
          <w:bCs/>
          <w:color w:val="000000"/>
          <w:sz w:val="30"/>
          <w:szCs w:val="30"/>
          <w:lang w:val="en-US" w:eastAsia="zh-CN"/>
        </w:rPr>
      </w:pPr>
    </w:p>
    <w:p>
      <w:pPr>
        <w:spacing w:before="157" w:beforeLines="50" w:after="157" w:afterLines="50" w:line="360" w:lineRule="auto"/>
        <w:jc w:val="left"/>
        <w:rPr>
          <w:rFonts w:hint="eastAsia" w:ascii="等线" w:hAnsi="等线" w:eastAsia="等线" w:cs="等线"/>
          <w:b/>
          <w:i w:val="0"/>
          <w:color w:val="000000"/>
          <w:kern w:val="0"/>
          <w:sz w:val="30"/>
          <w:szCs w:val="30"/>
          <w:u w:val="none"/>
          <w:lang w:val="en-US" w:eastAsia="zh-CN" w:bidi="ar"/>
        </w:rPr>
      </w:pPr>
      <w:r>
        <w:rPr>
          <w:rFonts w:hint="eastAsia" w:ascii="等线" w:hAnsi="等线" w:eastAsia="等线" w:cs="等线"/>
          <w:b/>
          <w:i w:val="0"/>
          <w:color w:val="000000"/>
          <w:kern w:val="0"/>
          <w:sz w:val="30"/>
          <w:szCs w:val="30"/>
          <w:u w:val="none"/>
          <w:lang w:val="en-US" w:eastAsia="zh-CN" w:bidi="ar"/>
        </w:rPr>
        <w:t>详见附件：</w:t>
      </w:r>
    </w:p>
    <w:p>
      <w:pPr>
        <w:numPr>
          <w:ilvl w:val="0"/>
          <w:numId w:val="0"/>
        </w:numPr>
        <w:spacing w:before="157" w:beforeLines="50" w:after="157" w:afterLines="50" w:line="360" w:lineRule="auto"/>
        <w:jc w:val="both"/>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1、安徽医科大学临床医学院OSCE考站信息化系统集成清单。</w:t>
      </w:r>
    </w:p>
    <w:p>
      <w:pPr>
        <w:numPr>
          <w:ilvl w:val="0"/>
          <w:numId w:val="0"/>
        </w:numPr>
        <w:spacing w:before="157" w:beforeLines="50" w:after="157" w:afterLines="50" w:line="360" w:lineRule="auto"/>
        <w:jc w:val="both"/>
        <w:rPr>
          <w:rFonts w:hint="default"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2、安徽医科大学临床医学院OSCE考站信息化系统集成施工图纸。</w:t>
      </w:r>
    </w:p>
    <w:p>
      <w:pPr>
        <w:pStyle w:val="2"/>
        <w:rPr>
          <w:rFonts w:hint="eastAsia"/>
          <w:lang w:val="en-US" w:eastAsia="zh-CN"/>
        </w:rPr>
      </w:pPr>
    </w:p>
    <w:p>
      <w:pPr>
        <w:pStyle w:val="2"/>
        <w:rPr>
          <w:rFonts w:hint="eastAsia"/>
          <w:lang w:val="en-US" w:eastAsia="zh-CN"/>
        </w:rPr>
      </w:pPr>
    </w:p>
    <w:p>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r>
        <w:rPr>
          <w:rFonts w:hint="eastAsia" w:eastAsia="宋体" w:cs="宋体"/>
          <w:b/>
          <w:bCs/>
          <w:color w:val="000000"/>
          <w:sz w:val="28"/>
          <w:szCs w:val="28"/>
          <w:lang w:eastAsia="zh-CN"/>
        </w:rPr>
        <w:t>注：</w:t>
      </w:r>
    </w:p>
    <w:p>
      <w:pPr>
        <w:pStyle w:val="15"/>
        <w:spacing w:beforeAutospacing="0" w:afterAutospacing="0" w:line="360" w:lineRule="auto"/>
        <w:ind w:right="275" w:rightChars="131"/>
        <w:jc w:val="both"/>
        <w:outlineLvl w:val="0"/>
        <w:rPr>
          <w:rFonts w:hint="default" w:eastAsia="宋体" w:cs="宋体"/>
          <w:b w:val="0"/>
          <w:bCs w:val="0"/>
          <w:color w:val="000000"/>
          <w:sz w:val="28"/>
          <w:szCs w:val="28"/>
          <w:lang w:val="en-US" w:eastAsia="zh-CN"/>
        </w:rPr>
      </w:pPr>
      <w:r>
        <w:rPr>
          <w:rFonts w:hint="eastAsia" w:eastAsia="宋体" w:cs="宋体"/>
          <w:b/>
          <w:bCs/>
          <w:color w:val="000000"/>
          <w:sz w:val="28"/>
          <w:szCs w:val="28"/>
          <w:lang w:val="en-US" w:eastAsia="zh-CN"/>
        </w:rPr>
        <w:t>1、功能要求：</w:t>
      </w:r>
      <w:r>
        <w:rPr>
          <w:rFonts w:hint="eastAsia" w:ascii="宋体" w:hAnsi="宋体" w:eastAsia="宋体" w:cs="宋体"/>
          <w:b w:val="0"/>
          <w:bCs w:val="0"/>
          <w:color w:val="000000"/>
          <w:sz w:val="28"/>
          <w:szCs w:val="28"/>
          <w:lang w:val="en-US" w:eastAsia="zh-CN"/>
        </w:rPr>
        <w:t>监控系统、门禁系统</w:t>
      </w:r>
      <w:r>
        <w:rPr>
          <w:rFonts w:hint="eastAsia" w:eastAsia="宋体" w:cs="宋体"/>
          <w:b w:val="0"/>
          <w:bCs w:val="0"/>
          <w:color w:val="000000"/>
          <w:sz w:val="28"/>
          <w:szCs w:val="28"/>
          <w:lang w:val="en-US" w:eastAsia="zh-CN"/>
        </w:rPr>
        <w:t>、扩声系统需要永久开放SDK包（暂不要求</w:t>
      </w:r>
      <w:r>
        <w:rPr>
          <w:rFonts w:hint="eastAsia" w:ascii="宋体" w:hAnsi="宋体" w:eastAsia="宋体" w:cs="宋体"/>
          <w:b w:val="0"/>
          <w:bCs w:val="0"/>
          <w:color w:val="000000"/>
          <w:sz w:val="28"/>
          <w:szCs w:val="28"/>
          <w:lang w:val="en-US" w:eastAsia="zh-CN"/>
        </w:rPr>
        <w:t>和OSCE考站软件</w:t>
      </w:r>
      <w:r>
        <w:rPr>
          <w:rFonts w:hint="eastAsia" w:eastAsia="宋体" w:cs="宋体"/>
          <w:b w:val="0"/>
          <w:bCs w:val="0"/>
          <w:color w:val="000000"/>
          <w:sz w:val="28"/>
          <w:szCs w:val="28"/>
          <w:lang w:val="en-US" w:eastAsia="zh-CN"/>
        </w:rPr>
        <w:t>做对接），</w:t>
      </w:r>
      <w:r>
        <w:rPr>
          <w:rFonts w:hint="eastAsia" w:eastAsia="宋体" w:cs="宋体"/>
          <w:b w:val="0"/>
          <w:bCs w:val="0"/>
          <w:color w:val="000000"/>
          <w:sz w:val="28"/>
          <w:szCs w:val="28"/>
          <w:u w:val="single"/>
          <w:lang w:val="en-US" w:eastAsia="zh-CN"/>
        </w:rPr>
        <w:t>电子班牌系统</w:t>
      </w:r>
      <w:r>
        <w:rPr>
          <w:rFonts w:hint="eastAsia" w:ascii="宋体" w:hAnsi="宋体" w:eastAsia="宋体" w:cs="宋体"/>
          <w:b w:val="0"/>
          <w:bCs w:val="0"/>
          <w:color w:val="000000"/>
          <w:sz w:val="28"/>
          <w:szCs w:val="28"/>
          <w:u w:val="single"/>
          <w:lang w:val="en-US" w:eastAsia="zh-CN"/>
        </w:rPr>
        <w:t>要永久开放SDK包（此次要求和OSCE考站软件做对接</w:t>
      </w:r>
      <w:r>
        <w:rPr>
          <w:rFonts w:hint="eastAsia" w:eastAsia="宋体" w:cs="宋体"/>
          <w:b w:val="0"/>
          <w:bCs w:val="0"/>
          <w:color w:val="000000"/>
          <w:sz w:val="28"/>
          <w:szCs w:val="28"/>
          <w:u w:val="single"/>
          <w:lang w:val="en-US" w:eastAsia="zh-CN"/>
        </w:rPr>
        <w:t>）</w:t>
      </w:r>
      <w:r>
        <w:rPr>
          <w:rFonts w:hint="eastAsia" w:eastAsia="宋体" w:cs="宋体"/>
          <w:b w:val="0"/>
          <w:bCs w:val="0"/>
          <w:color w:val="000000"/>
          <w:sz w:val="28"/>
          <w:szCs w:val="28"/>
          <w:lang w:val="en-US" w:eastAsia="zh-CN"/>
        </w:rPr>
        <w:t>。</w:t>
      </w:r>
    </w:p>
    <w:p>
      <w:pPr>
        <w:pStyle w:val="15"/>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bCs/>
          <w:color w:val="000000"/>
          <w:sz w:val="28"/>
          <w:szCs w:val="28"/>
          <w:lang w:val="en-US" w:eastAsia="zh-CN"/>
        </w:rPr>
        <w:t>2、技术响应表要求：</w:t>
      </w:r>
      <w:r>
        <w:rPr>
          <w:rFonts w:hint="eastAsia" w:eastAsia="宋体" w:cs="宋体"/>
          <w:b w:val="0"/>
          <w:bCs w:val="0"/>
          <w:color w:val="000000"/>
          <w:sz w:val="28"/>
          <w:szCs w:val="28"/>
          <w:lang w:eastAsia="zh-CN"/>
        </w:rPr>
        <w:t>请各投标单位制作投标书技术标时，</w:t>
      </w:r>
      <w:r>
        <w:rPr>
          <w:rFonts w:hint="eastAsia" w:eastAsia="宋体" w:cs="宋体"/>
          <w:b w:val="0"/>
          <w:bCs w:val="0"/>
          <w:color w:val="000000"/>
          <w:sz w:val="28"/>
          <w:szCs w:val="28"/>
          <w:u w:val="single"/>
          <w:lang w:eastAsia="zh-CN"/>
        </w:rPr>
        <w:t>不可完全复制套用，请务必提供投标产品的实际参数。</w:t>
      </w:r>
    </w:p>
    <w:p>
      <w:pPr>
        <w:pStyle w:val="15"/>
        <w:spacing w:beforeAutospacing="0" w:afterAutospacing="0" w:line="360" w:lineRule="auto"/>
        <w:ind w:right="275" w:rightChars="131"/>
        <w:jc w:val="both"/>
        <w:outlineLvl w:val="0"/>
        <w:rPr>
          <w:rFonts w:hint="default" w:ascii="宋体" w:hAnsi="宋体" w:eastAsia="宋体" w:cs="宋体"/>
          <w:b w:val="0"/>
          <w:bCs w:val="0"/>
          <w:color w:val="000000"/>
          <w:sz w:val="28"/>
          <w:szCs w:val="28"/>
          <w:lang w:val="en-US" w:eastAsia="zh-CN"/>
        </w:rPr>
      </w:pPr>
      <w:r>
        <w:rPr>
          <w:rFonts w:hint="eastAsia" w:ascii="宋体" w:hAnsi="宋体" w:eastAsia="宋体" w:cs="宋体"/>
          <w:b/>
          <w:bCs/>
          <w:color w:val="000000"/>
          <w:sz w:val="28"/>
          <w:szCs w:val="28"/>
          <w:lang w:val="en-US" w:eastAsia="zh-CN"/>
        </w:rPr>
        <w:t>3、参数设置：</w:t>
      </w:r>
      <w:r>
        <w:rPr>
          <w:rFonts w:hint="eastAsia" w:ascii="宋体" w:hAnsi="宋体" w:eastAsia="宋体" w:cs="宋体"/>
          <w:b w:val="0"/>
          <w:bCs w:val="0"/>
          <w:color w:val="000000"/>
          <w:sz w:val="28"/>
          <w:szCs w:val="28"/>
          <w:u w:val="single"/>
          <w:lang w:val="en-US" w:eastAsia="zh-CN"/>
        </w:rPr>
        <w:t>参数表里给出的品牌和型号仅供对比、参照，非招标方指定品牌、型号</w:t>
      </w:r>
      <w:r>
        <w:rPr>
          <w:rFonts w:hint="eastAsia" w:ascii="宋体" w:hAnsi="宋体" w:eastAsia="宋体" w:cs="宋体"/>
          <w:b w:val="0"/>
          <w:bCs w:val="0"/>
          <w:color w:val="000000"/>
          <w:sz w:val="28"/>
          <w:szCs w:val="28"/>
          <w:lang w:val="en-US" w:eastAsia="zh-CN"/>
        </w:rPr>
        <w:t>。</w:t>
      </w:r>
    </w:p>
    <w:p>
      <w:pPr>
        <w:pStyle w:val="2"/>
        <w:rPr>
          <w:rFonts w:hint="eastAsia" w:ascii="宋体" w:hAnsi="宋体" w:eastAsia="宋体" w:cs="宋体"/>
          <w:b/>
          <w:bCs/>
          <w:color w:val="000000"/>
          <w:sz w:val="30"/>
          <w:szCs w:val="30"/>
          <w:lang w:val="en-US" w:eastAsia="zh-CN"/>
        </w:rPr>
      </w:pPr>
    </w:p>
    <w:p>
      <w:pPr>
        <w:pStyle w:val="2"/>
        <w:rPr>
          <w:rFonts w:hint="eastAsia" w:ascii="宋体" w:hAnsi="宋体" w:eastAsia="宋体" w:cs="宋体"/>
          <w:b/>
          <w:bCs/>
          <w:color w:val="000000"/>
          <w:sz w:val="30"/>
          <w:szCs w:val="30"/>
          <w:lang w:val="en-US" w:eastAsia="zh-CN"/>
        </w:rPr>
      </w:pPr>
    </w:p>
    <w:p>
      <w:pPr>
        <w:pStyle w:val="2"/>
        <w:rPr>
          <w:rFonts w:hint="eastAsia" w:ascii="宋体" w:hAnsi="宋体" w:eastAsia="宋体" w:cs="宋体"/>
          <w:b/>
          <w:bCs/>
          <w:color w:val="000000"/>
          <w:sz w:val="30"/>
          <w:szCs w:val="30"/>
          <w:lang w:val="en-US" w:eastAsia="zh-CN"/>
        </w:rPr>
      </w:pPr>
    </w:p>
    <w:p>
      <w:pPr>
        <w:pStyle w:val="2"/>
        <w:rPr>
          <w:rFonts w:hint="eastAsia" w:ascii="宋体" w:hAnsi="宋体" w:eastAsia="宋体" w:cs="宋体"/>
          <w:b/>
          <w:bCs/>
          <w:color w:val="000000"/>
          <w:sz w:val="30"/>
          <w:szCs w:val="30"/>
          <w:lang w:val="en-US" w:eastAsia="zh-CN"/>
        </w:rPr>
      </w:pPr>
    </w:p>
    <w:p>
      <w:pPr>
        <w:pStyle w:val="15"/>
        <w:spacing w:beforeAutospacing="0" w:afterAutospacing="0" w:line="360" w:lineRule="auto"/>
        <w:ind w:left="-1" w:leftChars="-1" w:right="275" w:rightChars="131" w:hanging="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lang w:eastAsia="zh-CN"/>
        </w:rPr>
        <w:t>（联系方式）</w:t>
      </w:r>
      <w:r>
        <w:rPr>
          <w:rFonts w:hint="eastAsia" w:ascii="宋体" w:hAnsi="宋体"/>
          <w:b/>
          <w:bCs/>
          <w:color w:val="000000"/>
          <w:sz w:val="28"/>
          <w:szCs w:val="28"/>
        </w:rPr>
        <w:t>：</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default" w:ascii="宋体" w:hAnsi="宋体" w:eastAsia="宋体" w:cs="宋体"/>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p>
    <w:p>
      <w:pPr>
        <w:numPr>
          <w:ilvl w:val="0"/>
          <w:numId w:val="1"/>
        </w:numPr>
        <w:spacing w:line="360" w:lineRule="auto"/>
        <w:ind w:left="-1" w:leftChars="-1" w:right="275" w:rightChars="131" w:hanging="1"/>
        <w:jc w:val="center"/>
        <w:rPr>
          <w:rFonts w:hint="eastAsia" w:ascii="宋体" w:hAnsi="宋体"/>
          <w:b/>
          <w:bCs/>
          <w:color w:val="auto"/>
          <w:sz w:val="32"/>
          <w:szCs w:val="32"/>
          <w:highlight w:val="none"/>
        </w:rPr>
      </w:pPr>
      <w:bookmarkStart w:id="3" w:name="_GoBack"/>
      <w:bookmarkEnd w:id="3"/>
      <w:r>
        <w:rPr>
          <w:rFonts w:hint="eastAsia" w:ascii="宋体" w:hAnsi="宋体"/>
          <w:b/>
          <w:bCs/>
          <w:color w:val="auto"/>
          <w:sz w:val="32"/>
          <w:szCs w:val="32"/>
          <w:highlight w:val="none"/>
        </w:rPr>
        <w:t>投标报价</w:t>
      </w:r>
    </w:p>
    <w:p>
      <w:pPr>
        <w:adjustRightInd w:val="0"/>
        <w:snapToGrid w:val="0"/>
        <w:spacing w:before="62" w:beforeLines="20" w:after="62" w:afterLines="20" w:line="540" w:lineRule="exact"/>
        <w:ind w:left="-2" w:leftChars="-1" w:firstLine="361"/>
        <w:rPr>
          <w:rFonts w:hint="eastAsia" w:ascii="宋体" w:hAnsi="宋体" w:eastAsia="宋体" w:cs="宋体"/>
          <w:bCs/>
          <w:color w:val="auto"/>
          <w:sz w:val="24"/>
          <w:szCs w:val="24"/>
          <w:highlight w:val="none"/>
        </w:rPr>
      </w:pPr>
      <w:r>
        <w:rPr>
          <w:rFonts w:hint="eastAsia" w:ascii="宋体" w:hAnsi="宋体"/>
          <w:bCs/>
          <w:color w:val="auto"/>
          <w:sz w:val="24"/>
          <w:szCs w:val="24"/>
          <w:highlight w:val="none"/>
        </w:rPr>
        <w:t>投标单位:</w:t>
      </w:r>
      <w:r>
        <w:rPr>
          <w:rFonts w:hint="eastAsia" w:ascii="宋体" w:hAnsi="宋体" w:eastAsia="宋体" w:cs="宋体"/>
          <w:bCs/>
          <w:color w:val="auto"/>
          <w:sz w:val="24"/>
          <w:szCs w:val="24"/>
          <w:highlight w:val="none"/>
        </w:rPr>
        <w:t>_________________</w:t>
      </w:r>
      <w:r>
        <w:rPr>
          <w:rFonts w:hint="eastAsia" w:ascii="宋体" w:hAnsi="宋体"/>
          <w:bCs/>
          <w:color w:val="auto"/>
          <w:sz w:val="24"/>
          <w:szCs w:val="24"/>
          <w:highlight w:val="none"/>
        </w:rPr>
        <w:t xml:space="preserve">        项目名称：</w:t>
      </w:r>
      <w:r>
        <w:rPr>
          <w:rFonts w:hint="eastAsia" w:ascii="宋体" w:hAnsi="宋体" w:eastAsia="宋体" w:cs="宋体"/>
          <w:bCs/>
          <w:color w:val="auto"/>
          <w:sz w:val="24"/>
          <w:szCs w:val="24"/>
          <w:highlight w:val="none"/>
        </w:rPr>
        <w:t>_________________</w:t>
      </w:r>
    </w:p>
    <w:p>
      <w:pPr>
        <w:pStyle w:val="6"/>
        <w:rPr>
          <w:rFonts w:hint="eastAsia"/>
          <w:color w:val="auto"/>
          <w:sz w:val="24"/>
          <w:szCs w:val="24"/>
        </w:rPr>
      </w:pPr>
    </w:p>
    <w:tbl>
      <w:tblPr>
        <w:tblStyle w:val="12"/>
        <w:tblW w:w="10658" w:type="dxa"/>
        <w:jc w:val="center"/>
        <w:tblLayout w:type="fixed"/>
        <w:tblCellMar>
          <w:top w:w="0" w:type="dxa"/>
          <w:left w:w="108" w:type="dxa"/>
          <w:bottom w:w="0" w:type="dxa"/>
          <w:right w:w="108" w:type="dxa"/>
        </w:tblCellMar>
      </w:tblPr>
      <w:tblGrid>
        <w:gridCol w:w="585"/>
        <w:gridCol w:w="2316"/>
        <w:gridCol w:w="2412"/>
        <w:gridCol w:w="719"/>
        <w:gridCol w:w="825"/>
        <w:gridCol w:w="1215"/>
        <w:gridCol w:w="1293"/>
        <w:gridCol w:w="1293"/>
      </w:tblGrid>
      <w:tr>
        <w:tblPrEx>
          <w:tblCellMar>
            <w:top w:w="0" w:type="dxa"/>
            <w:left w:w="108" w:type="dxa"/>
            <w:bottom w:w="0" w:type="dxa"/>
            <w:right w:w="108" w:type="dxa"/>
          </w:tblCellMar>
        </w:tblPrEx>
        <w:trPr>
          <w:trHeight w:val="57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231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设备名称</w:t>
            </w:r>
          </w:p>
        </w:tc>
        <w:tc>
          <w:tcPr>
            <w:tcW w:w="2412"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品牌、型号</w:t>
            </w:r>
          </w:p>
        </w:tc>
        <w:tc>
          <w:tcPr>
            <w:tcW w:w="71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数量</w:t>
            </w:r>
          </w:p>
        </w:tc>
        <w:tc>
          <w:tcPr>
            <w:tcW w:w="8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单位</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单价（元）</w:t>
            </w: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总价（元）</w:t>
            </w: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备注</w:t>
            </w:r>
          </w:p>
        </w:tc>
      </w:tr>
      <w:tr>
        <w:tblPrEx>
          <w:tblCellMar>
            <w:top w:w="0" w:type="dxa"/>
            <w:left w:w="108" w:type="dxa"/>
            <w:bottom w:w="0" w:type="dxa"/>
            <w:right w:w="108" w:type="dxa"/>
          </w:tblCellMar>
        </w:tblPrEx>
        <w:trPr>
          <w:trHeight w:val="57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231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2412" w:type="dxa"/>
            <w:tcBorders>
              <w:top w:val="single" w:color="auto" w:sz="4" w:space="0"/>
              <w:left w:val="nil"/>
              <w:bottom w:val="single" w:color="auto" w:sz="4" w:space="0"/>
              <w:right w:val="single" w:color="auto" w:sz="4" w:space="0"/>
            </w:tcBorders>
            <w:noWrap w:val="0"/>
            <w:vAlign w:val="center"/>
          </w:tcPr>
          <w:p>
            <w:pPr>
              <w:pStyle w:val="16"/>
              <w:rPr>
                <w:rFonts w:ascii="宋体" w:hAnsi="宋体" w:eastAsia="宋体"/>
                <w:szCs w:val="21"/>
              </w:rPr>
            </w:pPr>
          </w:p>
        </w:tc>
        <w:tc>
          <w:tcPr>
            <w:tcW w:w="71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8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57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2</w:t>
            </w:r>
          </w:p>
        </w:tc>
        <w:tc>
          <w:tcPr>
            <w:tcW w:w="231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2412" w:type="dxa"/>
            <w:tcBorders>
              <w:top w:val="single" w:color="auto" w:sz="4" w:space="0"/>
              <w:left w:val="nil"/>
              <w:bottom w:val="single" w:color="auto" w:sz="4" w:space="0"/>
              <w:right w:val="single" w:color="auto" w:sz="4" w:space="0"/>
            </w:tcBorders>
            <w:noWrap w:val="0"/>
            <w:vAlign w:val="center"/>
          </w:tcPr>
          <w:p>
            <w:pPr>
              <w:pStyle w:val="16"/>
              <w:rPr>
                <w:rFonts w:ascii="宋体" w:hAnsi="宋体" w:eastAsia="宋体"/>
                <w:kern w:val="0"/>
                <w:szCs w:val="21"/>
              </w:rPr>
            </w:pPr>
          </w:p>
        </w:tc>
        <w:tc>
          <w:tcPr>
            <w:tcW w:w="71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8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57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3</w:t>
            </w:r>
          </w:p>
        </w:tc>
        <w:tc>
          <w:tcPr>
            <w:tcW w:w="231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2412" w:type="dxa"/>
            <w:tcBorders>
              <w:top w:val="single" w:color="auto" w:sz="4" w:space="0"/>
              <w:left w:val="nil"/>
              <w:bottom w:val="single" w:color="auto" w:sz="4" w:space="0"/>
              <w:right w:val="single" w:color="auto" w:sz="4" w:space="0"/>
            </w:tcBorders>
            <w:noWrap w:val="0"/>
            <w:vAlign w:val="center"/>
          </w:tcPr>
          <w:p>
            <w:pPr>
              <w:pStyle w:val="16"/>
              <w:rPr>
                <w:rFonts w:ascii="宋体" w:hAnsi="宋体" w:eastAsia="宋体"/>
                <w:kern w:val="0"/>
                <w:szCs w:val="21"/>
              </w:rPr>
            </w:pPr>
          </w:p>
        </w:tc>
        <w:tc>
          <w:tcPr>
            <w:tcW w:w="71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8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r>
      <w:tr>
        <w:tblPrEx>
          <w:tblCellMar>
            <w:top w:w="0" w:type="dxa"/>
            <w:left w:w="108" w:type="dxa"/>
            <w:bottom w:w="0" w:type="dxa"/>
            <w:right w:w="108" w:type="dxa"/>
          </w:tblCellMar>
        </w:tblPrEx>
        <w:trPr>
          <w:trHeight w:val="57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val="en-US" w:eastAsia="zh-CN"/>
              </w:rPr>
              <w:t>4</w:t>
            </w:r>
          </w:p>
        </w:tc>
        <w:tc>
          <w:tcPr>
            <w:tcW w:w="23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施工费</w:t>
            </w:r>
          </w:p>
        </w:tc>
        <w:tc>
          <w:tcPr>
            <w:tcW w:w="2412" w:type="dxa"/>
            <w:tcBorders>
              <w:top w:val="single" w:color="auto" w:sz="4" w:space="0"/>
              <w:left w:val="nil"/>
              <w:bottom w:val="single" w:color="auto" w:sz="4" w:space="0"/>
              <w:right w:val="single" w:color="auto" w:sz="4" w:space="0"/>
            </w:tcBorders>
            <w:noWrap w:val="0"/>
            <w:vAlign w:val="center"/>
          </w:tcPr>
          <w:p>
            <w:pPr>
              <w:pStyle w:val="16"/>
              <w:rPr>
                <w:rFonts w:ascii="宋体" w:hAnsi="宋体" w:eastAsia="宋体"/>
                <w:kern w:val="0"/>
                <w:szCs w:val="21"/>
              </w:rPr>
            </w:pPr>
          </w:p>
        </w:tc>
        <w:tc>
          <w:tcPr>
            <w:tcW w:w="71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8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含税费、利润、管理等费用</w:t>
            </w:r>
          </w:p>
        </w:tc>
      </w:tr>
      <w:tr>
        <w:tblPrEx>
          <w:tblCellMar>
            <w:top w:w="0" w:type="dxa"/>
            <w:left w:w="108" w:type="dxa"/>
            <w:bottom w:w="0" w:type="dxa"/>
            <w:right w:w="108" w:type="dxa"/>
          </w:tblCellMar>
        </w:tblPrEx>
        <w:trPr>
          <w:trHeight w:val="57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5</w:t>
            </w:r>
          </w:p>
        </w:tc>
        <w:tc>
          <w:tcPr>
            <w:tcW w:w="6272"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合计：</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Cs w:val="21"/>
              </w:rPr>
            </w:pPr>
          </w:p>
        </w:tc>
      </w:tr>
    </w:tbl>
    <w:p>
      <w:pPr>
        <w:pStyle w:val="7"/>
        <w:rPr>
          <w:rFonts w:hint="eastAsia" w:ascii="宋体" w:hAnsi="宋体"/>
          <w:b/>
          <w:color w:val="auto"/>
          <w:sz w:val="32"/>
          <w:szCs w:val="32"/>
          <w:highlight w:val="none"/>
          <w:lang w:eastAsia="zh-CN"/>
        </w:rPr>
      </w:pPr>
    </w:p>
    <w:p>
      <w:pPr>
        <w:pStyle w:val="7"/>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pPr>
        <w:pStyle w:val="7"/>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报价清单中的单项设备报价应该为市场采购成本价（正常市场销售价），</w:t>
      </w:r>
      <w:r>
        <w:rPr>
          <w:rFonts w:hint="eastAsia" w:ascii="宋体" w:hAnsi="宋体" w:eastAsia="宋体" w:cs="Times New Roman"/>
          <w:bCs/>
          <w:color w:val="auto"/>
          <w:kern w:val="2"/>
          <w:sz w:val="28"/>
          <w:szCs w:val="28"/>
          <w:highlight w:val="none"/>
          <w:u w:val="single"/>
          <w:lang w:val="en-US" w:eastAsia="zh-CN" w:bidi="ar-SA"/>
        </w:rPr>
        <w:t>整个项目的利润、税费、管理等费用全部分摊到施工费中去</w:t>
      </w:r>
      <w:r>
        <w:rPr>
          <w:rFonts w:hint="eastAsia" w:ascii="宋体" w:hAnsi="宋体" w:eastAsia="宋体" w:cs="Times New Roman"/>
          <w:bCs/>
          <w:color w:val="auto"/>
          <w:kern w:val="2"/>
          <w:sz w:val="28"/>
          <w:szCs w:val="28"/>
          <w:highlight w:val="none"/>
          <w:lang w:val="en-US" w:eastAsia="zh-CN" w:bidi="ar-SA"/>
        </w:rPr>
        <w:t>。</w:t>
      </w:r>
    </w:p>
    <w:p>
      <w:pPr>
        <w:pStyle w:val="7"/>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此次工程采用交钥匙工程（包工包料），因此投标报价不仅限于图纸和清单要求，为保证工程的完整性，投标单位需要自行前往现场</w:t>
      </w:r>
      <w:r>
        <w:rPr>
          <w:rFonts w:hint="eastAsia" w:ascii="宋体" w:hAnsi="宋体" w:eastAsia="宋体" w:cs="Times New Roman"/>
          <w:bCs/>
          <w:color w:val="auto"/>
          <w:kern w:val="2"/>
          <w:sz w:val="28"/>
          <w:szCs w:val="28"/>
          <w:highlight w:val="none"/>
          <w:u w:val="single"/>
          <w:lang w:val="en-US" w:eastAsia="zh-CN" w:bidi="ar-SA"/>
        </w:rPr>
        <w:t>进行实地勘察并进行技术交底</w:t>
      </w:r>
      <w:r>
        <w:rPr>
          <w:rFonts w:hint="eastAsia" w:ascii="宋体" w:hAnsi="宋体" w:eastAsia="宋体" w:cs="Times New Roman"/>
          <w:bCs/>
          <w:color w:val="auto"/>
          <w:kern w:val="2"/>
          <w:sz w:val="28"/>
          <w:szCs w:val="28"/>
          <w:highlight w:val="none"/>
          <w:lang w:val="en-US" w:eastAsia="zh-CN" w:bidi="ar-SA"/>
        </w:rPr>
        <w:t>。</w:t>
      </w:r>
    </w:p>
    <w:p>
      <w:pPr>
        <w:pStyle w:val="7"/>
        <w:rPr>
          <w:rFonts w:hint="eastAsia" w:ascii="宋体" w:hAnsi="宋体"/>
          <w:b/>
          <w:color w:val="auto"/>
          <w:sz w:val="32"/>
          <w:szCs w:val="32"/>
          <w:highlight w:val="none"/>
        </w:rPr>
      </w:pPr>
    </w:p>
    <w:p>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pPr>
        <w:pStyle w:val="2"/>
        <w:rPr>
          <w:rFonts w:hint="eastAsia" w:ascii="宋体" w:hAnsi="宋体"/>
          <w:b/>
          <w:bCs/>
          <w:color w:val="000000"/>
          <w:sz w:val="30"/>
          <w:lang w:eastAsia="zh-CN"/>
        </w:rPr>
      </w:pPr>
    </w:p>
    <w:p>
      <w:pPr>
        <w:pStyle w:val="2"/>
        <w:rPr>
          <w:rFonts w:hint="eastAsia" w:ascii="宋体" w:hAnsi="宋体"/>
          <w:b/>
          <w:bCs/>
          <w:color w:val="000000"/>
          <w:sz w:val="30"/>
          <w:lang w:eastAsia="zh-CN"/>
        </w:rPr>
      </w:pPr>
    </w:p>
    <w:p>
      <w:pPr>
        <w:pStyle w:val="2"/>
        <w:rPr>
          <w:rFonts w:hint="eastAsia" w:ascii="宋体" w:hAnsi="宋体"/>
          <w:b/>
          <w:bCs/>
          <w:color w:val="000000"/>
          <w:sz w:val="30"/>
          <w:lang w:eastAsia="zh-CN"/>
        </w:rPr>
      </w:pPr>
    </w:p>
    <w:p>
      <w:pPr>
        <w:adjustRightInd w:val="0"/>
        <w:snapToGrid w:val="0"/>
        <w:spacing w:before="62" w:beforeLines="20" w:after="62" w:afterLines="20" w:line="540" w:lineRule="exact"/>
        <w:ind w:left="-2" w:leftChars="-1" w:firstLine="3313" w:firstLineChars="1100"/>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377"/>
      <w:bookmarkStart w:id="1" w:name="_Toc171742000"/>
      <w:bookmarkStart w:id="2" w:name="_Toc171581557"/>
    </w:p>
    <w:p>
      <w:pPr>
        <w:pStyle w:val="9"/>
        <w:ind w:left="-2" w:leftChars="-1" w:firstLine="2409" w:firstLineChars="800"/>
        <w:rPr>
          <w:rFonts w:hint="eastAsia" w:hAnsi="宋体"/>
          <w:b/>
          <w:smallCaps/>
          <w:color w:val="000000"/>
          <w:sz w:val="30"/>
          <w:szCs w:val="30"/>
        </w:rPr>
      </w:pPr>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eastAsia="宋体"/>
                <w:b/>
                <w:smallCaps/>
                <w:color w:val="000000"/>
                <w:sz w:val="24"/>
                <w:lang w:eastAsia="zh-CN"/>
              </w:rPr>
            </w:pPr>
            <w:r>
              <w:rPr>
                <w:rFonts w:hint="eastAsia" w:hAnsi="宋体"/>
                <w:b/>
                <w:smallCaps/>
                <w:color w:val="000000"/>
                <w:sz w:val="24"/>
              </w:rPr>
              <w:t>施工</w:t>
            </w:r>
            <w:r>
              <w:rPr>
                <w:rFonts w:hint="eastAsia" w:hAnsi="宋体"/>
                <w:b/>
                <w:smallCaps/>
                <w:color w:val="000000"/>
                <w:sz w:val="24"/>
                <w:lang w:eastAsia="zh-CN"/>
              </w:rPr>
              <w:t>人员</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pStyle w:val="2"/>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安徽医科大学临床医学院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公司与安徽医科大学临床医学院就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信息化集成项目合作并签订《</w:t>
      </w:r>
      <w:r>
        <w:rPr>
          <w:rFonts w:hint="eastAsia" w:ascii="宋体" w:hAnsi="宋体" w:eastAsia="宋体" w:cs="宋体"/>
          <w:color w:val="000000"/>
          <w:kern w:val="0"/>
          <w:sz w:val="24"/>
          <w:szCs w:val="24"/>
          <w:u w:val="single"/>
          <w:shd w:val="clear" w:color="auto" w:fill="FFFFFF"/>
          <w:lang w:val="en-US" w:eastAsia="zh-CN"/>
        </w:rPr>
        <w:t>安徽医科大学临床医学院信息化集成项目采购合同</w:t>
      </w:r>
      <w:r>
        <w:rPr>
          <w:rFonts w:hint="eastAsia" w:ascii="宋体" w:hAnsi="宋体" w:eastAsia="宋体" w:cs="宋体"/>
          <w:color w:val="000000"/>
          <w:kern w:val="0"/>
          <w:sz w:val="24"/>
          <w:szCs w:val="24"/>
          <w:shd w:val="clear" w:color="auto" w:fill="FFFFFF"/>
          <w:lang w:val="en-US" w:eastAsia="zh-CN"/>
        </w:rPr>
        <w:t>》（下称主合同）事宜，为确保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公司全面履行其在主合同中的各项责任与义务，保证人自愿为其向安徽医科大学临床医学院提供不可撤销的连带保证责任担保，并向安徽医科大学临床医学院郑重承诺：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 xml:space="preserve">                                        日期：</w:t>
      </w: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rPr>
          <w:rFonts w:hint="eastAsia" w:ascii="仿宋_GB2312" w:hAnsi="仿宋" w:eastAsia="仿宋_GB2312" w:cs="仿宋"/>
          <w:sz w:val="28"/>
          <w:szCs w:val="28"/>
        </w:rPr>
      </w:pPr>
    </w:p>
    <w:p>
      <w:pPr>
        <w:pStyle w:val="2"/>
        <w:ind w:left="0" w:leftChars="0" w:firstLine="0" w:firstLineChars="0"/>
      </w:pP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三</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安徽医科大学临床医学院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p>
      <w:pPr>
        <w:spacing w:line="360" w:lineRule="auto"/>
        <w:rPr>
          <w:rFonts w:hint="eastAsia" w:ascii="宋体" w:hAnsi="宋体" w:eastAsia="宋体" w:cs="宋体"/>
          <w:color w:val="00000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16D007CD"/>
    <w:rsid w:val="16D00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uiPriority w:val="0"/>
    <w:pPr>
      <w:snapToGrid w:val="0"/>
    </w:pPr>
    <w:rPr>
      <w:rFonts w:ascii="Arial" w:hAnsi="Arial" w:cs="Arial"/>
    </w:rPr>
  </w:style>
  <w:style w:type="paragraph" w:styleId="5">
    <w:name w:val="Normal Indent"/>
    <w:basedOn w:val="1"/>
    <w:qFormat/>
    <w:uiPriority w:val="0"/>
    <w:pPr>
      <w:ind w:firstLine="420" w:firstLineChars="200"/>
    </w:pPr>
  </w:style>
  <w:style w:type="paragraph" w:styleId="6">
    <w:name w:val="Body Text"/>
    <w:basedOn w:val="1"/>
    <w:next w:val="7"/>
    <w:uiPriority w:val="0"/>
    <w:pPr>
      <w:spacing w:after="120"/>
    </w:p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qFormat/>
    <w:uiPriority w:val="0"/>
    <w:pPr>
      <w:ind w:left="100" w:leftChars="200" w:hanging="200" w:hangingChars="200"/>
    </w:pPr>
  </w:style>
  <w:style w:type="paragraph" w:styleId="9">
    <w:name w:val="Plain Text"/>
    <w:basedOn w:val="1"/>
    <w:qFormat/>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2023-03-20T01:47:00Z</dcterms:created>
  <dc:creator>千里草1403852088</dc:creator>
  <cp:lastModifiedBy>千里草1403852088</cp:lastModifiedBy>
  <dcterms:modified xsi:type="dcterms:W3CDTF">2023-03-20T01:49:01Z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4B1271C9C3A640D58CA9285E0674037A</vt:lpwstr>
  </property>
</Properties>
</file>